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lang w:val="en-US" w:eastAsia="zh-CN"/>
        </w:rPr>
        <w:t>单元五</w:t>
      </w:r>
      <w:bookmarkStart w:id="2" w:name="_GoBack"/>
      <w:bookmarkEnd w:id="2"/>
      <w:r>
        <w:rPr>
          <w:rFonts w:hint="eastAsia" w:ascii="微软简老宋" w:hAnsi="微软简老宋" w:eastAsia="微软简老宋" w:cs="微软简老宋"/>
          <w:b w:val="0"/>
          <w:bCs w:val="0"/>
          <w:color w:val="7030A0"/>
          <w:sz w:val="32"/>
          <w:szCs w:val="32"/>
          <w:lang w:val="en-US" w:eastAsia="zh-CN"/>
        </w:rPr>
        <w:t xml:space="preserve">  老年人的营养指导</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hAnsi="宋体"/>
                <w:b/>
                <w:color w:val="7030A0"/>
                <w:sz w:val="32"/>
                <w:szCs w:val="32"/>
                <w:lang w:val="en-US" w:eastAsia="zh-CN"/>
              </w:rPr>
              <w:t>老年人的营养指导</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7A5FC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宋体" w:cs="Times New Roman"/>
                <w:bCs/>
                <w:sz w:val="24"/>
                <w:szCs w:val="24"/>
                <w:lang w:val="en-US" w:eastAsia="zh-CN"/>
              </w:rPr>
            </w:pPr>
            <w:r>
              <w:rPr>
                <w:rFonts w:hint="eastAsia" w:ascii="Times New Roman" w:hAnsi="宋体" w:cs="Times New Roman"/>
                <w:bCs/>
                <w:sz w:val="24"/>
                <w:szCs w:val="24"/>
                <w:lang w:val="en-US" w:eastAsia="zh-CN"/>
              </w:rPr>
              <w:t>1.陈述平均需要量、推荐摄入量、适宜摄入量等概念；一般人群膳食指南的核八条平衡膳食准则、老年人膳食指南核心准则等。</w:t>
            </w:r>
          </w:p>
          <w:p w14:paraId="22C6C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cs="Times New Roman"/>
                <w:bCs/>
                <w:sz w:val="24"/>
                <w:szCs w:val="24"/>
                <w:lang w:val="en-US" w:eastAsia="zh-CN"/>
              </w:rPr>
            </w:pPr>
            <w:r>
              <w:rPr>
                <w:rFonts w:hint="eastAsia" w:ascii="Times New Roman" w:hAnsi="宋体" w:cs="Times New Roman"/>
                <w:bCs/>
                <w:sz w:val="24"/>
                <w:szCs w:val="24"/>
                <w:lang w:val="en-US" w:eastAsia="zh-CN"/>
              </w:rPr>
              <w:t>2.能运用食物交换份法给特定照护对象编制营养食谱；能对社区、医疗养老机制老年人实施营养健康宣教。</w:t>
            </w:r>
          </w:p>
          <w:p w14:paraId="64F9F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325454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rPr>
            </w:pPr>
            <w:r>
              <w:rPr>
                <w:rFonts w:hint="eastAsia" w:ascii="Times New Roman" w:hAnsi="宋体" w:cs="Times New Roman"/>
                <w:bCs/>
                <w:sz w:val="24"/>
                <w:szCs w:val="24"/>
                <w:lang w:val="en-US" w:eastAsia="zh-CN"/>
              </w:rPr>
              <w:t>1.全面关注老年人健康，进一步增进专业认同感；切实增强标准化意识，进一步树立细心责任心。</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b/>
                <w:color w:val="7030A0"/>
                <w:sz w:val="24"/>
                <w:szCs w:val="24"/>
              </w:rPr>
              <w:t>教学重点：</w:t>
            </w:r>
            <w:r>
              <w:rPr>
                <w:rFonts w:hint="eastAsia" w:ascii="Times New Roman" w:hAnsi="宋体" w:cs="Times New Roman"/>
                <w:bCs/>
                <w:sz w:val="24"/>
                <w:szCs w:val="24"/>
                <w:lang w:val="en-US" w:eastAsia="zh-CN"/>
              </w:rPr>
              <w:t>推荐摄入量、适一般人群膳食指南的核八条平衡膳食准则、老年人膳食指南核心准则、食物交换份</w:t>
            </w:r>
          </w:p>
          <w:p w14:paraId="735C4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rPr>
            </w:pPr>
            <w:r>
              <w:rPr>
                <w:rFonts w:hint="eastAsia" w:ascii="Times New Roman" w:hAnsi="Times New Roman"/>
                <w:b/>
                <w:color w:val="7030A0"/>
                <w:sz w:val="24"/>
                <w:szCs w:val="24"/>
              </w:rPr>
              <w:t>教学难点：</w:t>
            </w:r>
            <w:r>
              <w:rPr>
                <w:rFonts w:hint="eastAsia" w:ascii="Times New Roman" w:hAnsi="宋体" w:cs="Times New Roman"/>
                <w:bCs/>
                <w:sz w:val="24"/>
                <w:szCs w:val="24"/>
                <w:lang w:val="en-US" w:eastAsia="zh-CN"/>
              </w:rPr>
              <w:t>食物交换份法编制营养食谱</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r>
              <w:rPr>
                <w:rFonts w:hint="eastAsia" w:ascii="Times New Roman" w:hAnsi="宋体"/>
                <w:sz w:val="24"/>
                <w:szCs w:val="24"/>
                <w:lang w:eastAsia="zh-CN"/>
              </w:rPr>
              <w:t>、</w:t>
            </w:r>
            <w:r>
              <w:rPr>
                <w:rFonts w:hint="eastAsia" w:ascii="Times New Roman" w:hAnsi="宋体"/>
                <w:sz w:val="24"/>
                <w:szCs w:val="24"/>
                <w:lang w:val="en-US" w:eastAsia="zh-CN"/>
              </w:rPr>
              <w:t>超星学习通app</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D64A871">
            <w:pPr>
              <w:keepNext w:val="0"/>
              <w:keepLines w:val="0"/>
              <w:suppressLineNumbers w:val="0"/>
              <w:spacing w:before="0" w:beforeAutospacing="0" w:after="0" w:afterAutospacing="0" w:line="360" w:lineRule="auto"/>
              <w:ind w:left="0" w:right="0" w:hanging="8"/>
              <w:rPr>
                <w:rFonts w:hint="eastAsia" w:ascii="Times New Roman" w:hAnsi="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1A0CAC1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eastAsia" w:ascii="Times New Roman" w:hAnsi="宋体"/>
                <w:kern w:val="0"/>
                <w:sz w:val="24"/>
                <w:szCs w:val="24"/>
                <w:lang w:val="en-US" w:eastAsia="zh-CN"/>
              </w:rPr>
              <w:t>3</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7DEC17F3">
            <w:pPr>
              <w:keepNext w:val="0"/>
              <w:keepLines w:val="0"/>
              <w:suppressLineNumbers w:val="0"/>
              <w:spacing w:before="0" w:beforeAutospacing="0" w:after="0" w:afterAutospacing="0" w:line="360" w:lineRule="auto"/>
              <w:ind w:left="0" w:right="0" w:hanging="8"/>
              <w:rPr>
                <w:rFonts w:hint="default" w:ascii="Times New Roman" w:hAnsi="宋体"/>
                <w:sz w:val="24"/>
                <w:szCs w:val="24"/>
                <w:lang w:val="en-US" w:eastAsia="zh-CN"/>
              </w:rPr>
            </w:pPr>
            <w:r>
              <w:rPr>
                <w:rFonts w:hint="eastAsia" w:ascii="Times New Roman" w:hAnsi="宋体"/>
                <w:kern w:val="0"/>
                <w:sz w:val="24"/>
                <w:szCs w:val="24"/>
              </w:rPr>
              <w:t>第</w:t>
            </w:r>
            <w:r>
              <w:rPr>
                <w:rFonts w:hint="eastAsia" w:ascii="Times New Roman" w:hAnsi="宋体"/>
                <w:kern w:val="0"/>
                <w:sz w:val="24"/>
                <w:szCs w:val="24"/>
                <w:lang w:val="en-US" w:eastAsia="zh-CN"/>
              </w:rPr>
              <w:t>4</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宋体" w:cs="Times New Roman"/>
                <w:sz w:val="24"/>
                <w:szCs w:val="24"/>
                <w:lang w:val="en-US" w:eastAsia="zh-CN"/>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宋体" w:cs="Times New Roman"/>
                <w:sz w:val="24"/>
                <w:szCs w:val="24"/>
                <w:lang w:val="en-US" w:eastAsia="zh-CN"/>
              </w:rPr>
              <w:t>运用超星学习通app考勤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w:t>
            </w:r>
            <w:r>
              <w:rPr>
                <w:rFonts w:hint="eastAsia" w:ascii="Times New Roman" w:hAnsi="Times New Roman"/>
                <w:color w:val="548235" w:themeColor="accent6" w:themeShade="BF"/>
                <w:sz w:val="24"/>
                <w:szCs w:val="24"/>
                <w:lang w:val="en-US" w:eastAsia="zh-CN"/>
              </w:rPr>
              <w:t>核对考勤结果并</w:t>
            </w:r>
            <w:r>
              <w:rPr>
                <w:rFonts w:hint="eastAsia" w:ascii="Times New Roman" w:hAnsi="Times New Roman"/>
                <w:color w:val="548235" w:themeColor="accent6" w:themeShade="BF"/>
                <w:sz w:val="24"/>
                <w:szCs w:val="24"/>
              </w:rPr>
              <w:t>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加强课堂组织性；及时</w:t>
            </w:r>
            <w:r>
              <w:rPr>
                <w:rFonts w:hint="eastAsia" w:ascii="Times New Roman" w:hAnsi="Times New Roman"/>
                <w:sz w:val="24"/>
                <w:szCs w:val="24"/>
              </w:rPr>
              <w:t>掌握学生</w:t>
            </w:r>
            <w:r>
              <w:rPr>
                <w:rFonts w:hint="eastAsia" w:ascii="Times New Roman" w:hAnsi="Times New Roman"/>
                <w:sz w:val="24"/>
                <w:szCs w:val="24"/>
                <w:lang w:val="en-US" w:eastAsia="zh-CN"/>
              </w:rPr>
              <w:t>动态，保证学生安全</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lang w:val="en-US" w:eastAsia="zh-CN"/>
              </w:rPr>
            </w:pPr>
            <w:r>
              <w:rPr>
                <w:rFonts w:hint="eastAsia" w:ascii="微软雅黑" w:hAnsi="微软雅黑" w:eastAsia="微软雅黑"/>
                <w:b/>
                <w:sz w:val="24"/>
                <w:szCs w:val="24"/>
                <w:lang w:eastAsia="zh-CN"/>
              </w:rPr>
              <w:t>知识讲解</w:t>
            </w:r>
            <w:r>
              <w:rPr>
                <w:rFonts w:hint="eastAsia" w:ascii="微软雅黑" w:hAnsi="微软雅黑" w:eastAsia="微软雅黑"/>
                <w:b/>
                <w:sz w:val="24"/>
                <w:szCs w:val="24"/>
                <w:lang w:val="en-US" w:eastAsia="zh-CN"/>
              </w:rPr>
              <w:t>与运用</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7E4D3FBC">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b w:val="0"/>
                <w:bCs/>
                <w:color w:val="C00000"/>
                <w:kern w:val="2"/>
                <w:sz w:val="24"/>
                <w:szCs w:val="24"/>
                <w:lang w:val="en-US" w:eastAsia="zh-CN" w:bidi="ar"/>
              </w:rPr>
            </w:pPr>
            <w:r>
              <w:rPr>
                <w:rFonts w:hint="eastAsia" w:ascii="Times New Roman" w:hAnsi="Times New Roman"/>
                <w:b/>
                <w:color w:val="C00000"/>
                <w:sz w:val="24"/>
                <w:szCs w:val="24"/>
              </w:rPr>
              <w:t>【教师】</w:t>
            </w:r>
            <w:bookmarkStart w:id="0" w:name="_Toc125104466"/>
            <w:bookmarkStart w:id="1" w:name="_Toc125100429"/>
            <w:r>
              <w:rPr>
                <w:rFonts w:hint="eastAsia" w:ascii="Times New Roman" w:hAnsi="Times New Roman"/>
                <w:b/>
                <w:color w:val="C00000"/>
                <w:sz w:val="24"/>
                <w:szCs w:val="24"/>
                <w:lang w:val="en-US" w:eastAsia="zh-CN"/>
              </w:rPr>
              <w:t>老年人营养指导</w:t>
            </w:r>
          </w:p>
          <w:bookmarkEnd w:id="0"/>
          <w:bookmarkEnd w:id="1"/>
          <w:p w14:paraId="0D8A7474">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default"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一、</w:t>
            </w:r>
            <w:r>
              <w:rPr>
                <w:rFonts w:hint="eastAsia" w:ascii="Calibri" w:hAnsi="宋体" w:eastAsia="宋体" w:cs="Times New Roman"/>
                <w:b w:val="0"/>
                <w:bCs/>
                <w:kern w:val="2"/>
                <w:sz w:val="24"/>
                <w:szCs w:val="24"/>
                <w:lang w:val="en-US" w:eastAsia="zh-CN" w:bidi="ar-SA"/>
              </w:rPr>
              <w:t>中国居民膳食营养素参考摄入量</w:t>
            </w:r>
          </w:p>
          <w:p w14:paraId="345F1053">
            <w:pPr>
              <w:keepNext w:val="0"/>
              <w:keepLines w:val="0"/>
              <w:widowControl/>
              <w:numPr>
                <w:ilvl w:val="0"/>
                <w:numId w:val="1"/>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平均需要量（EAR）</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是指某一特定性别、年龄及生理状况群体中个体对某营养素需要量的平均值。</w:t>
            </w:r>
          </w:p>
          <w:p w14:paraId="6B504F7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EAR是制订RNI的基础，如果已知EAR的标准差，则RNI定为EAR加两个标准差，即RNI＝EAR＋2SD；如果资料不充分，不能计算EAR的标准差，则RNI＝EAR×1.2。由于某些营养素的研究尚缺乏足够的人体需要量资料，因此并非所有营养素都能制定出EAR。 </w:t>
            </w:r>
          </w:p>
          <w:p w14:paraId="57593ECF">
            <w:pPr>
              <w:keepNext w:val="0"/>
              <w:keepLines w:val="0"/>
              <w:widowControl/>
              <w:numPr>
                <w:ilvl w:val="0"/>
                <w:numId w:val="1"/>
              </w:numPr>
              <w:suppressLineNumbers w:val="0"/>
              <w:spacing w:before="0" w:beforeAutospacing="0" w:after="0" w:afterAutospacing="0" w:line="360" w:lineRule="auto"/>
              <w:ind w:left="0" w:leftChars="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推荐摄入量（RNI）</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是指可以满足某一特定性别、年龄及生理状况群体中绝大多数个体（97%～98%）需要量的某种营养素摄入水平。长期摄入RNI水平可以满足机体对该营养素的需要，维持组织中有适当的储备以保障机体健康。RNI相当于传统意义上的RDA。</w:t>
            </w:r>
          </w:p>
          <w:p w14:paraId="0AC45A77">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 xml:space="preserve">（三）适宜摄入量（AI） 当某种营养素的个体需要量研究资料不足而不能计算出EAR，从而无法推算RNI时，可通过设定AI来提出这种营养素的摄入量目标。AI是通过观察或实验获得的健康群体某种营养素的摄入量。例如纯母乳喂养的足月产健康婴儿。  </w:t>
            </w:r>
          </w:p>
          <w:p w14:paraId="68B11E9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（四）可耐受最高摄入量（UL） 是营养素或食物成分的每日摄入量的安全上限，是一个健康人群中几乎所有个体都不会产生毒副作用的最高摄人水平。</w:t>
            </w:r>
          </w:p>
          <w:p w14:paraId="1181D183">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（五）宏量营养素可接受范围（AMDR） 指蛋白质、脂肪和碳水化合物理想的摄入量范围，该范围可以提供这些必需营养素的需要，并且有利于降低发生慢性非传染性疾病（NCD）的危险，常用占能量摄入量的百分比表示。蛋白质、脂肪和碳水化合物都属于在体内代谢过程中能够产生能量的营养素，因此被称之为产能营养素。它们属于人体的必需营养素，而且三者的摄入比例还影响微量营养素的摄入状况。</w:t>
            </w:r>
          </w:p>
          <w:p w14:paraId="63D773AE">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六）预防非传染性慢性病的建议摄入量（PI-NCD）简称建议摄入量，PI）膳食营养素摄入量过高导致的NCD一般涉及肥胖、高血压、血脂异常、中风、心肌梗死以及某些癌症。PI-NCD是以NCD的一级预防为目标，提出的必需营养素的每日摄入量。当NCD易感人群某些营养素的摄入量达到PI时，可以降低发生NCD的风险。此次提出PI值的有维生素C、钾、钠等。 </w:t>
            </w:r>
          </w:p>
          <w:p w14:paraId="6AA15E4D">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（七）特定建议值 （SPL） 特定建议近几十年的研究证明传统营养素以外的某些膳食成分，具有改善人体生理功能、预防NCD的生物学作用，其中多数属于植物化合物，特定建议值（SPL）是指膳食中这些成分的摄入量达到这个建议水平时，有利于维护人体健康。此次提出SPL值的有：大豆异黄酮、叶黄素、蕃茄红素、植物甾醇、氨基葡萄糖、花色苷、原花青素等。</w:t>
            </w:r>
          </w:p>
          <w:p w14:paraId="68A7AD0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hAnsi="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二、一般人群膳食指南</w:t>
            </w:r>
            <w:r>
              <w:rPr>
                <w:rFonts w:hint="eastAsia" w:hAnsi="宋体" w:cs="Times New Roman"/>
                <w:b w:val="0"/>
                <w:bCs/>
                <w:kern w:val="2"/>
                <w:sz w:val="24"/>
                <w:szCs w:val="24"/>
                <w:lang w:val="en-US" w:eastAsia="zh-CN" w:bidi="ar-SA"/>
              </w:rPr>
              <w:t xml:space="preserve">  </w:t>
            </w:r>
          </w:p>
          <w:p w14:paraId="7C37B66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本指南是以食物为基础的膳食指南（FBDGs）,适用于2岁以上的健康人群，提供有关食物、食物类别和平衡膳食模式的建议，健康/合理的膳食指导，以促进全民健康和慢性疾病预防。一般人群膳食指南共有八条指导准则。</w:t>
            </w:r>
          </w:p>
          <w:p w14:paraId="31F90583">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准则一</w:t>
            </w:r>
            <w:r>
              <w:rPr>
                <w:rFonts w:hint="eastAsia" w:hAnsi="宋体" w:cs="Times New Roman"/>
                <w:b/>
                <w:bCs w:val="0"/>
                <w:kern w:val="2"/>
                <w:sz w:val="24"/>
                <w:szCs w:val="24"/>
                <w:lang w:val="en-US" w:eastAsia="zh-CN" w:bidi="ar-SA"/>
              </w:rPr>
              <w:t xml:space="preserve"> </w:t>
            </w:r>
            <w:r>
              <w:rPr>
                <w:rFonts w:hint="default" w:ascii="Calibri" w:hAnsi="宋体" w:eastAsia="宋体" w:cs="Times New Roman"/>
                <w:b/>
                <w:bCs w:val="0"/>
                <w:kern w:val="2"/>
                <w:sz w:val="24"/>
                <w:szCs w:val="24"/>
                <w:lang w:val="en-US" w:eastAsia="zh-CN" w:bidi="ar-SA"/>
              </w:rPr>
              <w:t>食物多样，合理搭配</w:t>
            </w:r>
          </w:p>
          <w:p w14:paraId="2EF47565">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坚持谷类为主的平衡膳食模式。</w:t>
            </w:r>
          </w:p>
          <w:p w14:paraId="1EDECE0F">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每天的膳食应包括谷薯类、蔬菜水果、畜禽鱼蛋奶和豆类食物。</w:t>
            </w:r>
          </w:p>
          <w:p w14:paraId="434C3FA4">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平均每天摄入12种以上食物，每周25种以上，合理搭配。</w:t>
            </w:r>
          </w:p>
          <w:p w14:paraId="5BC7246E">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每天摄入谷类食物200~300g，其中包含全谷物和杂豆类50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150g；薯类50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100g</w:t>
            </w:r>
            <w:r>
              <w:rPr>
                <w:rFonts w:hint="eastAsia" w:ascii="Calibri" w:hAnsi="宋体" w:eastAsia="宋体" w:cs="Times New Roman"/>
                <w:b w:val="0"/>
                <w:bCs/>
                <w:kern w:val="2"/>
                <w:sz w:val="24"/>
                <w:szCs w:val="24"/>
                <w:lang w:val="en-US" w:eastAsia="zh-CN" w:bidi="ar-SA"/>
              </w:rPr>
              <w:t>。</w:t>
            </w:r>
          </w:p>
          <w:p w14:paraId="0169C97B">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准则二 吃动平衡，健康体重</w:t>
            </w:r>
          </w:p>
          <w:p w14:paraId="1B813391">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各年龄段人群都应天天进行身体活动，保持健康体重。</w:t>
            </w:r>
          </w:p>
          <w:p w14:paraId="5602E2CD">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食不过量，保持能量平衡。</w:t>
            </w:r>
          </w:p>
          <w:p w14:paraId="6B72CB33">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坚持日常身体活动，每周至少进行5天中等强度身体活动，累计150分钟以上；主动身体活动最好每天6 000步。</w:t>
            </w:r>
          </w:p>
          <w:p w14:paraId="67461C4E">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鼓励适当进行高强度有氧运动，加强抗阻运动，每周2~3天。</w:t>
            </w:r>
          </w:p>
          <w:p w14:paraId="59B213E9">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Times New Roman" w:hAnsi="Times New Roman"/>
                <w:b/>
                <w:sz w:val="24"/>
                <w:szCs w:val="24"/>
              </w:rPr>
            </w:pPr>
            <w:r>
              <w:rPr>
                <w:rFonts w:hint="default" w:ascii="Calibri" w:hAnsi="宋体" w:eastAsia="宋体" w:cs="Times New Roman"/>
                <w:b w:val="0"/>
                <w:bCs/>
                <w:kern w:val="2"/>
                <w:sz w:val="24"/>
                <w:szCs w:val="24"/>
                <w:lang w:val="en-US" w:eastAsia="zh-CN" w:bidi="ar-SA"/>
              </w:rPr>
              <w:t>●  减少久坐时间，每小时起来动一动。</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课前通过超星学习通发布问卷</w:t>
            </w:r>
            <w:r>
              <w:rPr>
                <w:rFonts w:hint="eastAsia" w:ascii="Times New Roman" w:hAnsi="Times New Roman"/>
                <w:b/>
                <w:sz w:val="24"/>
                <w:szCs w:val="24"/>
              </w:rPr>
              <w:t>，</w:t>
            </w:r>
            <w:r>
              <w:rPr>
                <w:rFonts w:hint="eastAsia" w:ascii="Times New Roman" w:hAnsi="Times New Roman"/>
                <w:b/>
                <w:sz w:val="24"/>
                <w:szCs w:val="24"/>
                <w:lang w:val="en-US" w:eastAsia="zh-CN"/>
              </w:rPr>
              <w:t>了解</w:t>
            </w:r>
            <w:r>
              <w:rPr>
                <w:rFonts w:hint="eastAsia" w:ascii="Times New Roman" w:hAnsi="Times New Roman"/>
                <w:b/>
                <w:sz w:val="24"/>
                <w:szCs w:val="24"/>
                <w:lang w:eastAsia="zh-CN"/>
              </w:rPr>
              <w:t>学生</w:t>
            </w:r>
            <w:r>
              <w:rPr>
                <w:rFonts w:hint="eastAsia" w:ascii="Times New Roman" w:hAnsi="Times New Roman"/>
                <w:b/>
                <w:sz w:val="24"/>
                <w:szCs w:val="24"/>
                <w:lang w:val="en-US" w:eastAsia="zh-CN"/>
              </w:rPr>
              <w:t>对知识掌握情况及预学习情况</w:t>
            </w:r>
            <w:r>
              <w:rPr>
                <w:rFonts w:hint="eastAsia" w:ascii="Times New Roman" w:hAnsi="Times New Roman"/>
                <w:b/>
                <w:sz w:val="24"/>
                <w:szCs w:val="24"/>
                <w:lang w:eastAsia="zh-CN"/>
              </w:rPr>
              <w:t>，</w:t>
            </w:r>
            <w:r>
              <w:rPr>
                <w:rFonts w:hint="eastAsia" w:ascii="Times New Roman" w:hAnsi="Times New Roman"/>
                <w:b/>
                <w:sz w:val="24"/>
                <w:szCs w:val="24"/>
              </w:rPr>
              <w:t>激发学生的学习</w:t>
            </w:r>
            <w:r>
              <w:rPr>
                <w:rFonts w:hint="eastAsia" w:ascii="Times New Roman" w:hAnsi="Times New Roman"/>
                <w:b/>
                <w:sz w:val="24"/>
                <w:szCs w:val="24"/>
                <w:lang w:val="en-US" w:eastAsia="zh-CN"/>
              </w:rPr>
              <w:t>兴趣</w:t>
            </w:r>
            <w:r>
              <w:rPr>
                <w:rFonts w:hint="eastAsia" w:ascii="Times New Roman" w:hAnsi="Times New Roman"/>
                <w:b/>
                <w:sz w:val="24"/>
                <w:szCs w:val="24"/>
              </w:rPr>
              <w:t>。</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布置作业</w:t>
            </w:r>
          </w:p>
          <w:p w14:paraId="47E27ED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在现实生活中如何践行“</w:t>
            </w:r>
            <w:r>
              <w:rPr>
                <w:rFonts w:hint="default" w:hAnsi="宋体"/>
                <w:bCs/>
                <w:sz w:val="24"/>
                <w:szCs w:val="24"/>
                <w:lang w:val="en-US" w:eastAsia="zh-CN"/>
              </w:rPr>
              <w:t>食物多样，合理搭配</w:t>
            </w:r>
            <w:r>
              <w:rPr>
                <w:rFonts w:hint="eastAsia" w:hAnsi="宋体"/>
                <w:bCs/>
                <w:sz w:val="24"/>
                <w:szCs w:val="24"/>
                <w:lang w:val="en-US" w:eastAsia="zh-CN"/>
              </w:rPr>
              <w:t>”的原则？</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396D592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8009F6D">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lang w:val="en-US" w:eastAsia="zh-CN"/>
              </w:rPr>
            </w:pPr>
            <w:r>
              <w:rPr>
                <w:rFonts w:hint="eastAsia" w:ascii="微软雅黑" w:hAnsi="微软雅黑" w:eastAsia="微软雅黑"/>
                <w:b/>
                <w:sz w:val="24"/>
                <w:szCs w:val="24"/>
                <w:lang w:eastAsia="zh-CN"/>
              </w:rPr>
              <w:t>知识讲解</w:t>
            </w:r>
            <w:r>
              <w:rPr>
                <w:rFonts w:hint="eastAsia" w:ascii="微软雅黑" w:hAnsi="微软雅黑" w:eastAsia="微软雅黑"/>
                <w:b/>
                <w:sz w:val="24"/>
                <w:szCs w:val="24"/>
                <w:lang w:val="en-US" w:eastAsia="zh-CN"/>
              </w:rPr>
              <w:t>与运用</w:t>
            </w:r>
          </w:p>
          <w:p w14:paraId="2CBF613A">
            <w:pPr>
              <w:keepNext w:val="0"/>
              <w:keepLines w:val="0"/>
              <w:suppressLineNumbers w:val="0"/>
              <w:spacing w:before="0" w:beforeAutospacing="0" w:after="0" w:afterAutospacing="0" w:line="360" w:lineRule="auto"/>
              <w:ind w:left="0" w:leftChars="0" w:right="0" w:rightChars="0" w:hanging="8" w:firstLineChars="0"/>
              <w:jc w:val="center"/>
              <w:rPr>
                <w:rFonts w:hint="eastAsia" w:ascii="微软雅黑" w:hAnsi="微软雅黑" w:eastAsia="微软雅黑"/>
                <w:b/>
                <w:sz w:val="24"/>
                <w:szCs w:val="24"/>
                <w:lang w:eastAsia="zh-CN"/>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41268AAF">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Times New Roman" w:hAnsi="Times New Roman"/>
                <w:b/>
                <w:color w:val="C00000"/>
                <w:sz w:val="24"/>
                <w:szCs w:val="24"/>
                <w:lang w:val="en-US" w:eastAsia="zh-CN"/>
              </w:rPr>
              <w:t>老年人营养指导</w:t>
            </w:r>
          </w:p>
          <w:p w14:paraId="523439F7">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hAnsi="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二、一般人群膳食指南</w:t>
            </w:r>
            <w:r>
              <w:rPr>
                <w:rFonts w:hint="eastAsia" w:hAnsi="宋体" w:cs="Times New Roman"/>
                <w:b w:val="0"/>
                <w:bCs/>
                <w:kern w:val="2"/>
                <w:sz w:val="24"/>
                <w:szCs w:val="24"/>
                <w:lang w:val="en-US" w:eastAsia="zh-CN" w:bidi="ar-SA"/>
              </w:rPr>
              <w:t xml:space="preserve">  </w:t>
            </w:r>
          </w:p>
          <w:p w14:paraId="7F0264EC">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准则一</w:t>
            </w:r>
            <w:r>
              <w:rPr>
                <w:rFonts w:hint="eastAsia" w:hAnsi="宋体" w:cs="Times New Roman"/>
                <w:b/>
                <w:bCs w:val="0"/>
                <w:kern w:val="2"/>
                <w:sz w:val="24"/>
                <w:szCs w:val="24"/>
                <w:lang w:val="en-US" w:eastAsia="zh-CN" w:bidi="ar-SA"/>
              </w:rPr>
              <w:t xml:space="preserve"> </w:t>
            </w:r>
            <w:r>
              <w:rPr>
                <w:rFonts w:hint="default" w:ascii="Calibri" w:hAnsi="宋体" w:eastAsia="宋体" w:cs="Times New Roman"/>
                <w:b/>
                <w:bCs w:val="0"/>
                <w:kern w:val="2"/>
                <w:sz w:val="24"/>
                <w:szCs w:val="24"/>
                <w:lang w:val="en-US" w:eastAsia="zh-CN" w:bidi="ar-SA"/>
              </w:rPr>
              <w:t>食物多样，合理搭配</w:t>
            </w:r>
            <w:r>
              <w:rPr>
                <w:rFonts w:hint="default" w:ascii="Calibri" w:hAnsi="宋体" w:eastAsia="宋体" w:cs="Times New Roman"/>
                <w:b w:val="0"/>
                <w:bCs/>
                <w:kern w:val="2"/>
                <w:sz w:val="24"/>
                <w:szCs w:val="24"/>
                <w:lang w:val="en-US" w:eastAsia="zh-CN" w:bidi="ar-SA"/>
              </w:rPr>
              <w:t> </w:t>
            </w:r>
          </w:p>
          <w:p w14:paraId="54BF379C">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准则二 吃动平衡，健康体重</w:t>
            </w:r>
          </w:p>
          <w:p w14:paraId="0F44B221">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bCs w:val="0"/>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准则三  多吃蔬果、奶类、全谷、大豆</w:t>
            </w:r>
          </w:p>
          <w:p w14:paraId="07844D28">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蔬菜水果、全谷物和奶制品是平衡膳食的重要组成部分。</w:t>
            </w:r>
          </w:p>
          <w:p w14:paraId="46740D2B">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餐餐有蔬菜，保证每天摄入不少于300g的新鲜蔬菜，深色蔬菜应占1/2。</w:t>
            </w:r>
          </w:p>
          <w:p w14:paraId="3539ABE3">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天天吃水果，保证每天摄入200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350g的新鲜水果，果汁不能代替鲜果。</w:t>
            </w:r>
          </w:p>
          <w:p w14:paraId="047CCB9F">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吃各种各样的奶制品，摄入量相当于每天300ml以上液态奶。</w:t>
            </w:r>
          </w:p>
          <w:p w14:paraId="54859FEA">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经常吃全谷物、大豆制品，适量吃坚果。</w:t>
            </w:r>
          </w:p>
          <w:p w14:paraId="399A6526">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bCs w:val="0"/>
                <w:kern w:val="2"/>
                <w:sz w:val="24"/>
                <w:szCs w:val="24"/>
                <w:lang w:val="en-US" w:eastAsia="zh-CN" w:bidi="ar-SA"/>
              </w:rPr>
            </w:pPr>
            <w:r>
              <w:rPr>
                <w:rFonts w:hint="default" w:ascii="Calibri" w:hAnsi="宋体" w:eastAsia="宋体" w:cs="Times New Roman"/>
                <w:b/>
                <w:bCs w:val="0"/>
                <w:kern w:val="2"/>
                <w:sz w:val="24"/>
                <w:szCs w:val="24"/>
                <w:lang w:val="en-US" w:eastAsia="zh-CN" w:bidi="ar-SA"/>
              </w:rPr>
              <w:t>准则四  适量吃鱼、禽、蛋、瘦肉</w:t>
            </w:r>
          </w:p>
          <w:p w14:paraId="7E8076E9">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鱼、禽、蛋类和瘦肉摄入要适量，平均每天120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200g。</w:t>
            </w:r>
          </w:p>
          <w:p w14:paraId="365D18B1">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每周最好吃鱼2次或300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500g，蛋类300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350g，畜禽肉300</w:t>
            </w:r>
            <w:r>
              <w:rPr>
                <w:rFonts w:hint="eastAsia" w:ascii="Calibri" w:hAnsi="宋体" w:eastAsia="宋体" w:cs="Times New Roman"/>
                <w:b w:val="0"/>
                <w:bCs/>
                <w:kern w:val="2"/>
                <w:sz w:val="24"/>
                <w:szCs w:val="24"/>
                <w:lang w:val="en-US" w:eastAsia="zh-CN" w:bidi="ar-SA"/>
              </w:rPr>
              <w:t>～</w:t>
            </w:r>
            <w:r>
              <w:rPr>
                <w:rFonts w:hint="default" w:ascii="Calibri" w:hAnsi="宋体" w:eastAsia="宋体" w:cs="Times New Roman"/>
                <w:b w:val="0"/>
                <w:bCs/>
                <w:kern w:val="2"/>
                <w:sz w:val="24"/>
                <w:szCs w:val="24"/>
                <w:lang w:val="en-US" w:eastAsia="zh-CN" w:bidi="ar-SA"/>
              </w:rPr>
              <w:t>500g。</w:t>
            </w:r>
          </w:p>
          <w:p w14:paraId="379DDFB3">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少吃深加工肉制品。</w:t>
            </w:r>
          </w:p>
          <w:p w14:paraId="2263A824">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鸡蛋营养丰富，吃鸡蛋不弃蛋黄。</w:t>
            </w:r>
          </w:p>
          <w:p w14:paraId="46ACF2BF">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优先选择鱼，少吃肥肉、烟熏和腌制肉制品。</w:t>
            </w:r>
          </w:p>
          <w:p w14:paraId="392FB812">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准则五</w:t>
            </w:r>
            <w:r>
              <w:rPr>
                <w:rFonts w:hint="eastAsia" w:hAnsi="宋体" w:cs="Times New Roman"/>
                <w:b/>
                <w:bCs w:val="0"/>
                <w:kern w:val="2"/>
                <w:sz w:val="24"/>
                <w:szCs w:val="24"/>
                <w:lang w:val="en-US" w:eastAsia="zh-CN" w:bidi="ar-SA"/>
              </w:rPr>
              <w:t xml:space="preserve">  </w:t>
            </w:r>
            <w:r>
              <w:rPr>
                <w:rFonts w:hint="default" w:ascii="Calibri" w:hAnsi="宋体" w:eastAsia="宋体" w:cs="Times New Roman"/>
                <w:b/>
                <w:bCs w:val="0"/>
                <w:kern w:val="2"/>
                <w:sz w:val="24"/>
                <w:szCs w:val="24"/>
                <w:lang w:val="en-US" w:eastAsia="zh-CN" w:bidi="ar-SA"/>
              </w:rPr>
              <w:t>少盐少油，控糖限酒</w:t>
            </w:r>
          </w:p>
          <w:p w14:paraId="33BD6BA6">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培养清淡饮食习惯，少吃高盐和油炸食品。成年人每天摄入食盐不超过5g，烹调油25~30g。</w:t>
            </w:r>
          </w:p>
          <w:p w14:paraId="36B1E635">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控制添加糖的摄入量，每天不超过50g，最好控制在25g以下。</w:t>
            </w:r>
          </w:p>
          <w:p w14:paraId="4D28FC83">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反式脂肪酸每天摄入量不超过2g。</w:t>
            </w:r>
          </w:p>
          <w:p w14:paraId="3181FA9E">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不喝或少喝含糖饮料。</w:t>
            </w:r>
          </w:p>
          <w:p w14:paraId="5DEC8164">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儿童青少年、孕妇、乳母以及慢性病患者不应饮酒。成年人如饮酒，一天饮用的酒精量不超过15g。</w:t>
            </w:r>
          </w:p>
          <w:p w14:paraId="4393ADCC">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bCs w:val="0"/>
                <w:kern w:val="2"/>
                <w:sz w:val="24"/>
                <w:szCs w:val="24"/>
                <w:lang w:val="en-US" w:eastAsia="zh-CN" w:bidi="ar-SA"/>
              </w:rPr>
              <w:t>准则六  规律进餐，足量饮水</w:t>
            </w:r>
          </w:p>
          <w:p w14:paraId="4F317FA7">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合理安排一日三餐，定时定量，不漏餐，每天吃早餐。</w:t>
            </w:r>
          </w:p>
          <w:p w14:paraId="4783D932">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规律进餐、饮食适度，不暴饮暴食、不偏食挑食、不过度节食。</w:t>
            </w:r>
          </w:p>
          <w:p w14:paraId="682E0EC5">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足量饮水，少量多次。在温和气候条件下，低身体活动水平成年男性每天喝水1 700ml，成年女性每天喝水1 500ml。</w:t>
            </w:r>
          </w:p>
          <w:p w14:paraId="62245DE1">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推荐喝白水或茶水，少喝或不喝含糖饮料，不用饮料代替白水。</w:t>
            </w:r>
          </w:p>
          <w:p w14:paraId="6558AAEB">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bCs w:val="0"/>
                <w:kern w:val="2"/>
                <w:sz w:val="24"/>
                <w:szCs w:val="24"/>
                <w:lang w:val="en-US" w:eastAsia="zh-CN" w:bidi="ar-SA"/>
              </w:rPr>
            </w:pPr>
            <w:r>
              <w:rPr>
                <w:rFonts w:hint="default" w:ascii="Calibri" w:hAnsi="宋体" w:eastAsia="宋体" w:cs="Times New Roman"/>
                <w:b/>
                <w:bCs w:val="0"/>
                <w:kern w:val="2"/>
                <w:sz w:val="24"/>
                <w:szCs w:val="24"/>
                <w:lang w:val="en-US" w:eastAsia="zh-CN" w:bidi="ar-SA"/>
              </w:rPr>
              <w:t>准则七  会烹会选，会看标签</w:t>
            </w:r>
          </w:p>
          <w:p w14:paraId="1FBBE2EE">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在生命的各个阶段都应做好健康膳食规划。</w:t>
            </w:r>
          </w:p>
          <w:p w14:paraId="374C99E5">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认识食物，选择新鲜的、营养素密度高的食物。</w:t>
            </w:r>
          </w:p>
          <w:p w14:paraId="6506C93D">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学会阅读食品标签，合理选择预包装食品。</w:t>
            </w:r>
          </w:p>
          <w:p w14:paraId="3A7FA2CB">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学习烹饪、传承传统饮食，享受食物天然美味。</w:t>
            </w:r>
          </w:p>
          <w:p w14:paraId="6071FF77">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在外就餐，不忘适量与平衡。</w:t>
            </w:r>
          </w:p>
          <w:p w14:paraId="1A2E80DE">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bCs w:val="0"/>
                <w:kern w:val="2"/>
                <w:sz w:val="24"/>
                <w:szCs w:val="24"/>
                <w:lang w:val="en-US" w:eastAsia="zh-CN" w:bidi="ar-SA"/>
              </w:rPr>
            </w:pPr>
            <w:r>
              <w:rPr>
                <w:rFonts w:hint="default" w:ascii="Calibri" w:hAnsi="宋体" w:eastAsia="宋体" w:cs="Times New Roman"/>
                <w:b/>
                <w:bCs w:val="0"/>
                <w:kern w:val="2"/>
                <w:sz w:val="24"/>
                <w:szCs w:val="24"/>
                <w:lang w:val="en-US" w:eastAsia="zh-CN" w:bidi="ar-SA"/>
              </w:rPr>
              <w:t>准则八  公筷分餐，杜绝浪费</w:t>
            </w:r>
          </w:p>
          <w:p w14:paraId="360C61D0">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选择新鲜卫生的食物，不食用野生动物。</w:t>
            </w:r>
          </w:p>
          <w:p w14:paraId="36C42BEA">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食物制备生熟分开，熟食二次加热要热透。</w:t>
            </w:r>
          </w:p>
          <w:p w14:paraId="08A6F605">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讲究卫生，从分餐公筷做起。</w:t>
            </w:r>
          </w:p>
          <w:p w14:paraId="14A6417F">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珍惜食物，按需备餐，提倡分餐不浪费。</w:t>
            </w:r>
          </w:p>
          <w:p w14:paraId="4030730F">
            <w:pPr>
              <w:keepNext w:val="0"/>
              <w:keepLines w:val="0"/>
              <w:widowControl/>
              <w:numPr>
                <w:ilvl w:val="0"/>
                <w:numId w:val="0"/>
              </w:numPr>
              <w:suppressLineNumbers w:val="0"/>
              <w:spacing w:before="0" w:beforeAutospacing="0" w:after="0" w:afterAutospacing="0" w:line="360" w:lineRule="auto"/>
              <w:ind w:left="0" w:right="0" w:rightChars="0"/>
              <w:jc w:val="left"/>
              <w:rPr>
                <w:rFonts w:hint="default" w:ascii="Calibri" w:hAnsi="宋体" w:eastAsia="宋体" w:cs="Times New Roman"/>
                <w:b w:val="0"/>
                <w:bCs/>
                <w:kern w:val="2"/>
                <w:sz w:val="24"/>
                <w:szCs w:val="24"/>
                <w:lang w:val="en-US" w:eastAsia="zh-CN" w:bidi="ar-SA"/>
              </w:rPr>
            </w:pPr>
            <w:r>
              <w:rPr>
                <w:rFonts w:hint="default" w:ascii="Calibri" w:hAnsi="宋体" w:eastAsia="宋体" w:cs="Times New Roman"/>
                <w:b w:val="0"/>
                <w:bCs/>
                <w:kern w:val="2"/>
                <w:sz w:val="24"/>
                <w:szCs w:val="24"/>
                <w:lang w:val="en-US" w:eastAsia="zh-CN" w:bidi="ar-SA"/>
              </w:rPr>
              <w:t>●  做可持续食物系统发展的践行者。</w:t>
            </w:r>
          </w:p>
          <w:p w14:paraId="3B8B225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三</w:t>
            </w:r>
            <w:r>
              <w:rPr>
                <w:rFonts w:hint="eastAsia" w:ascii="Calibri" w:hAnsi="宋体" w:eastAsia="宋体" w:cs="Times New Roman"/>
                <w:b w:val="0"/>
                <w:bCs/>
                <w:kern w:val="2"/>
                <w:sz w:val="24"/>
                <w:szCs w:val="24"/>
                <w:lang w:val="en-US" w:eastAsia="zh-CN" w:bidi="ar-SA"/>
              </w:rPr>
              <w:t>、老年人膳食指南</w:t>
            </w:r>
          </w:p>
          <w:p w14:paraId="4017B742">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eastAsia" w:ascii="Calibri" w:hAnsi="宋体" w:eastAsia="宋体" w:cs="Times New Roman"/>
                <w:b/>
                <w:bCs w:val="0"/>
                <w:kern w:val="2"/>
                <w:sz w:val="24"/>
                <w:szCs w:val="24"/>
                <w:lang w:val="en-US" w:eastAsia="zh-CN" w:bidi="ar-SA"/>
              </w:rPr>
            </w:pPr>
            <w:r>
              <w:rPr>
                <w:rFonts w:hint="eastAsia" w:ascii="Calibri" w:hAnsi="宋体" w:eastAsia="宋体" w:cs="Times New Roman"/>
                <w:b/>
                <w:bCs w:val="0"/>
                <w:kern w:val="2"/>
                <w:sz w:val="24"/>
                <w:szCs w:val="24"/>
                <w:lang w:val="en-US" w:eastAsia="zh-CN" w:bidi="ar-SA"/>
              </w:rPr>
              <w:t>1、一般老年人膳食指南</w:t>
            </w:r>
          </w:p>
          <w:p w14:paraId="790B819A">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（1）、食物品种丰富，动物性食物充足，常吃大豆制品。</w:t>
            </w:r>
          </w:p>
          <w:p w14:paraId="0175C51B">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（2）、鼓励共同进餐，保持良好食欲，享受食物美味。</w:t>
            </w:r>
          </w:p>
          <w:p w14:paraId="4CC8A983">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（3）、积极户外活动，延缓肌肉衰减，保持适宜体重。</w:t>
            </w:r>
          </w:p>
          <w:p w14:paraId="0CAD4713">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（4）、定期健康体检，测评营养状况，预防营养缺乏。</w:t>
            </w:r>
          </w:p>
          <w:p w14:paraId="7D0D8F92">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eastAsia" w:ascii="Calibri" w:hAnsi="宋体" w:eastAsia="宋体" w:cs="Times New Roman"/>
                <w:b/>
                <w:bCs w:val="0"/>
                <w:kern w:val="2"/>
                <w:sz w:val="24"/>
                <w:szCs w:val="24"/>
                <w:lang w:val="en-US" w:eastAsia="zh-CN" w:bidi="ar-SA"/>
              </w:rPr>
            </w:pPr>
            <w:r>
              <w:rPr>
                <w:rFonts w:hint="eastAsia" w:ascii="Calibri" w:hAnsi="宋体" w:eastAsia="宋体" w:cs="Times New Roman"/>
                <w:b/>
                <w:bCs w:val="0"/>
                <w:kern w:val="2"/>
                <w:sz w:val="24"/>
                <w:szCs w:val="24"/>
                <w:lang w:val="en-US" w:eastAsia="zh-CN" w:bidi="ar-SA"/>
              </w:rPr>
              <w:t>2、高龄老年人膳食</w:t>
            </w:r>
          </w:p>
          <w:p w14:paraId="021C8BAB">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（1）、食物多样，鼓励多种方式进食。</w:t>
            </w:r>
          </w:p>
          <w:p w14:paraId="7CFC12F9">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（2）、选择质地细软，能量和营养素密度高的食物。</w:t>
            </w:r>
          </w:p>
          <w:p w14:paraId="45E7DE88">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（3）、多吃鱼禽肉蛋奶和豆，适量蔬菜配水果。</w:t>
            </w:r>
          </w:p>
          <w:p w14:paraId="1C3BAA30">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（4）、关注体重丢失，定期营养筛查评估，预防营养不良。</w:t>
            </w:r>
          </w:p>
          <w:p w14:paraId="076D4EE1">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（5）、适时合理补充营养，提高生活质量。</w:t>
            </w:r>
          </w:p>
          <w:p w14:paraId="3633F111">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（6）、坚持健身与益智活动，促进身心健康。</w:t>
            </w:r>
          </w:p>
          <w:p w14:paraId="4A11B151">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四</w:t>
            </w:r>
            <w:r>
              <w:rPr>
                <w:rFonts w:hint="eastAsia" w:ascii="Calibri" w:hAnsi="宋体" w:eastAsia="宋体" w:cs="Times New Roman"/>
                <w:b w:val="0"/>
                <w:bCs/>
                <w:kern w:val="2"/>
                <w:sz w:val="24"/>
                <w:szCs w:val="24"/>
                <w:lang w:val="en-US" w:eastAsia="zh-CN" w:bidi="ar-SA"/>
              </w:rPr>
              <w:t>、中国居民平衡膳食和构成</w:t>
            </w:r>
          </w:p>
          <w:p w14:paraId="34A767AC">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膳食模式是一个地区居民长期形成的膳食结构、饮食习惯及消费频率，包括食物的种类、数量、比例或不同食物、饮料等的组合。</w:t>
            </w:r>
          </w:p>
          <w:p w14:paraId="3F10F57C">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中国居民平衡膳食模式的特点是：</w:t>
            </w:r>
          </w:p>
          <w:p w14:paraId="5176D369">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bCs w:val="0"/>
                <w:kern w:val="2"/>
                <w:sz w:val="24"/>
                <w:szCs w:val="24"/>
                <w:lang w:val="en-US" w:eastAsia="zh-CN" w:bidi="ar-SA"/>
              </w:rPr>
              <w:t>1.</w:t>
            </w:r>
            <w:r>
              <w:rPr>
                <w:rFonts w:hint="eastAsia" w:ascii="Calibri" w:hAnsi="宋体" w:eastAsia="宋体" w:cs="Times New Roman"/>
                <w:b/>
                <w:bCs w:val="0"/>
                <w:kern w:val="2"/>
                <w:sz w:val="24"/>
                <w:szCs w:val="24"/>
                <w:lang w:val="en-US" w:eastAsia="zh-CN" w:bidi="ar-SA"/>
              </w:rPr>
              <w:t>食物多样：</w:t>
            </w:r>
            <w:r>
              <w:rPr>
                <w:rFonts w:hint="eastAsia" w:ascii="Calibri" w:hAnsi="宋体" w:eastAsia="宋体" w:cs="Times New Roman"/>
                <w:b w:val="0"/>
                <w:bCs/>
                <w:kern w:val="2"/>
                <w:sz w:val="24"/>
                <w:szCs w:val="24"/>
                <w:lang w:val="en-US" w:eastAsia="zh-CN" w:bidi="ar-SA"/>
              </w:rPr>
              <w:t xml:space="preserve">中国居民平衡膳食模式包括五大类人体必需的基本食物，包括谷薯类、蔬菜水果类、禽畜鱼蛋奶类、大豆坚果类以及烹饪用的油盐等。推荐的食物品种丰富，每周25种以上，以保障膳食能量和营养素的充足供给，传承和发扬了“五谷为养、五果为助、五畜为益、五菜为充”的膳食搭配原则。    </w:t>
            </w:r>
          </w:p>
          <w:p w14:paraId="6E7F4D8E">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default" w:ascii="Calibri" w:hAnsi="宋体" w:eastAsia="宋体" w:cs="Times New Roman"/>
                <w:b w:val="0"/>
                <w:bCs/>
                <w:kern w:val="2"/>
                <w:sz w:val="24"/>
                <w:szCs w:val="24"/>
                <w:lang w:val="en-US" w:eastAsia="zh-CN" w:bidi="ar-SA"/>
              </w:rPr>
            </w:pPr>
            <w:r>
              <w:rPr>
                <w:rFonts w:hint="eastAsia" w:hAnsi="宋体" w:cs="Times New Roman"/>
                <w:b/>
                <w:bCs w:val="0"/>
                <w:kern w:val="2"/>
                <w:sz w:val="24"/>
                <w:szCs w:val="24"/>
                <w:lang w:val="en-US" w:eastAsia="zh-CN" w:bidi="ar-SA"/>
              </w:rPr>
              <w:t>2.</w:t>
            </w:r>
            <w:r>
              <w:rPr>
                <w:rFonts w:hint="eastAsia" w:ascii="Calibri" w:hAnsi="宋体" w:eastAsia="宋体" w:cs="Times New Roman"/>
                <w:b/>
                <w:bCs w:val="0"/>
                <w:kern w:val="2"/>
                <w:sz w:val="24"/>
                <w:szCs w:val="24"/>
                <w:lang w:val="en-US" w:eastAsia="zh-CN" w:bidi="ar-SA"/>
              </w:rPr>
              <w:t>植物性食物为主：</w:t>
            </w:r>
            <w:r>
              <w:rPr>
                <w:rFonts w:hint="eastAsia" w:ascii="Calibri" w:hAnsi="宋体" w:eastAsia="宋体" w:cs="Times New Roman"/>
                <w:b w:val="0"/>
                <w:bCs/>
                <w:kern w:val="2"/>
                <w:sz w:val="24"/>
                <w:szCs w:val="24"/>
                <w:lang w:val="en-US" w:eastAsia="zh-CN" w:bidi="ar-SA"/>
              </w:rPr>
              <w:t>在整个膳食模式中，谷薯类提供能量占总能量的50％左右，是能量主要来源，体现了“谷类为主”的理念。“谷类为主”是我国的膳食传统，实践证明对健康有益。另外，蔬菜、水果 大豆、坚果都是被鼓励多摄人的食物类别，占总体膳食的比例较高。</w:t>
            </w:r>
          </w:p>
          <w:p w14:paraId="2134C350">
            <w:pPr>
              <w:keepNext w:val="0"/>
              <w:keepLines w:val="0"/>
              <w:widowControl/>
              <w:numPr>
                <w:ilvl w:val="0"/>
                <w:numId w:val="0"/>
              </w:numPr>
              <w:suppressLineNumbers w:val="0"/>
              <w:spacing w:before="0" w:beforeAutospacing="0" w:after="0" w:afterAutospacing="0" w:line="360" w:lineRule="auto"/>
              <w:ind w:left="0" w:right="0" w:rightChars="0" w:firstLine="482"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bCs w:val="0"/>
                <w:kern w:val="2"/>
                <w:sz w:val="24"/>
                <w:szCs w:val="24"/>
                <w:lang w:val="en-US" w:eastAsia="zh-CN" w:bidi="ar-SA"/>
              </w:rPr>
              <w:t>3.</w:t>
            </w:r>
            <w:r>
              <w:rPr>
                <w:rFonts w:hint="eastAsia" w:ascii="Calibri" w:hAnsi="宋体" w:eastAsia="宋体" w:cs="Times New Roman"/>
                <w:b/>
                <w:bCs w:val="0"/>
                <w:kern w:val="2"/>
                <w:sz w:val="24"/>
                <w:szCs w:val="24"/>
                <w:lang w:val="en-US" w:eastAsia="zh-CN" w:bidi="ar-SA"/>
              </w:rPr>
              <w:t>动物性食物为辅：</w:t>
            </w:r>
            <w:r>
              <w:rPr>
                <w:rFonts w:hint="eastAsia" w:ascii="Calibri" w:hAnsi="宋体" w:eastAsia="宋体" w:cs="Times New Roman"/>
                <w:b w:val="0"/>
                <w:bCs/>
                <w:kern w:val="2"/>
                <w:sz w:val="24"/>
                <w:szCs w:val="24"/>
                <w:lang w:val="en-US" w:eastAsia="zh-CN" w:bidi="ar-SA"/>
              </w:rPr>
              <w:t>在整体膳食模式中，动物性食物比例低，属于辅助性食物。膳食指南强调动物性食物摄人适量，既保障优质蛋白质摄人，还弥补植物性食物中脂溶性维生素、维生素B12、锌、硒等微量营养素的不足，又可预防因动物性食物摄人过多所起的心脑血管疾病以及某些癌症发生风险的增加。实践了我国传统膳食“植物为主”的原则，又体现了现代关于食物与健康科学研究的重要成果。</w:t>
            </w:r>
          </w:p>
          <w:p w14:paraId="74955B4D">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4</w:t>
            </w:r>
            <w:r>
              <w:rPr>
                <w:rFonts w:hint="eastAsia" w:hAnsi="宋体" w:cs="Times New Roman"/>
                <w:b w:val="0"/>
                <w:bCs/>
                <w:kern w:val="2"/>
                <w:sz w:val="24"/>
                <w:szCs w:val="24"/>
                <w:lang w:val="en-US" w:eastAsia="zh-CN" w:bidi="ar-SA"/>
              </w:rPr>
              <w:t>.</w:t>
            </w:r>
            <w:r>
              <w:rPr>
                <w:rFonts w:hint="eastAsia" w:ascii="Calibri" w:hAnsi="宋体" w:eastAsia="宋体" w:cs="Times New Roman"/>
                <w:b w:val="0"/>
                <w:bCs/>
                <w:kern w:val="2"/>
                <w:sz w:val="24"/>
                <w:szCs w:val="24"/>
                <w:lang w:val="en-US" w:eastAsia="zh-CN" w:bidi="ar-SA"/>
              </w:rPr>
              <w:t>少油盐糖：少油少盐是各国膳食指南的共识。我国减盐工作进行已久，已取得一定成效。在国际组织和各国膳食指南的推荐中，2013年起建议食盐用量为5g。我国青少年糖的摄人主要来自饮料，家庭和餐饮业烹调油和盐的用量也较大。油、盐、糖是膳食指南中特别强调的三点控制措施。</w:t>
            </w:r>
          </w:p>
          <w:p w14:paraId="6CFDB908">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五</w:t>
            </w:r>
            <w:r>
              <w:rPr>
                <w:rFonts w:hint="eastAsia" w:ascii="Calibri" w:hAnsi="宋体" w:eastAsia="宋体" w:cs="Times New Roman"/>
                <w:b w:val="0"/>
                <w:bCs/>
                <w:kern w:val="2"/>
                <w:sz w:val="24"/>
                <w:szCs w:val="24"/>
                <w:lang w:val="en-US" w:eastAsia="zh-CN" w:bidi="ar-SA"/>
              </w:rPr>
              <w:t>、中国居民平衡膳食宝塔</w:t>
            </w:r>
          </w:p>
          <w:p w14:paraId="08F01F6A">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中国居民平衡膳食宝塔（以下简称“宝塔”）是根据《中国居民膳食指南（2022）》的准则和核心推荐，把平衡膳食原则转化为各类食物的数量和所占比例的图形化表示。</w:t>
            </w:r>
          </w:p>
          <w:p w14:paraId="60694E82">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中国居民平衡膳食宝塔形象化的组合，遵循了平衡膳食的原则，体现了在营养上比较理想的基本食物构成。宝塔共分5层，各层面积大小不同，体现了5大类食物和食物量的多少。5大类食物包括谷薯类、蔬菜水果、畜禽鱼蛋奶类、大豆和坚果类以及烹调用油盐。食物量是根据不同能量需要量水平设计，宝塔旁边的文字注释，标明了在1600～2400kcal能量需要量水平时，一段时间内成年人每人每天各类食物摄入量的建议值范围。</w:t>
            </w:r>
          </w:p>
          <w:p w14:paraId="30871E02">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第一层：谷薯类食物</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每人每天摄入谷类200～300g，其中包含全谷物和杂豆类50～150g；另外，薯类50～100g，从能量角度，相当于15～35g大米。</w:t>
            </w:r>
          </w:p>
          <w:p w14:paraId="4F5F8D85">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第二层：蔬菜水果</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每天蔬菜摄入量至少达到300g，水果200～350g。</w:t>
            </w:r>
          </w:p>
          <w:p w14:paraId="6738454C">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第三层：鱼、禽、肉、蛋等动物性食物</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每天鱼、禽、肉、蛋摄入量共计120～200g。</w:t>
            </w:r>
          </w:p>
          <w:p w14:paraId="502C8DA4">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第四层：奶类、大豆和坚果</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每天应摄入至少相当于鲜奶300g的奶类及奶制品。</w:t>
            </w:r>
          </w:p>
          <w:p w14:paraId="6037EAD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第五层：烹调油和盐</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每天烹调油不超过25～30g，食盐摄入量不超过5g。</w:t>
            </w:r>
          </w:p>
          <w:p w14:paraId="3578761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另：身体活动和饮水</w:t>
            </w:r>
            <w:r>
              <w:rPr>
                <w:rFonts w:hint="eastAsia" w:hAnsi="宋体" w:cs="Times New Roman"/>
                <w:b w:val="0"/>
                <w:bCs/>
                <w:kern w:val="2"/>
                <w:sz w:val="24"/>
                <w:szCs w:val="24"/>
                <w:lang w:val="en-US" w:eastAsia="zh-CN" w:bidi="ar-SA"/>
              </w:rPr>
              <w:t xml:space="preserve">  </w:t>
            </w:r>
            <w:r>
              <w:rPr>
                <w:rFonts w:hint="eastAsia" w:ascii="Calibri" w:hAnsi="宋体" w:eastAsia="宋体" w:cs="Times New Roman"/>
                <w:b w:val="0"/>
                <w:bCs/>
                <w:kern w:val="2"/>
                <w:sz w:val="24"/>
                <w:szCs w:val="24"/>
                <w:lang w:val="en-US" w:eastAsia="zh-CN" w:bidi="ar-SA"/>
              </w:rPr>
              <w:t>身体活动和水的图示仍包含在可视化图形中，强调增加身体活动和足量饮水的重要性。低身体活动水平的成年人每天至少饮水1500～1700ml（7～8杯）。在高温或高身体活动水平的条件下，应适当增加饮水量。饮水或过多都会对人体健康带来危害。来自食物中水分和膳食汤水大约占1/2，推荐一天中饮水和整体膳食（包括食物中的水，汤、粥、奶等）水摄入共计2700～3000ml。</w:t>
            </w:r>
          </w:p>
          <w:p w14:paraId="06D722B5">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身体活动是能量平衡和保持身体健康的重要手段。运动或身体活动能有效地消耗能量，保持精神和机体代谢的活跃性。鼓励养成天天运动的习惯，坚持每天多做一些消耗能量的活动。推荐成年人每天进行至少相当于快步走6000步以上的身体活动，每周最好进行150分钟中等强度的运动，如骑车、跑步、庭院或农田的劳动等。一般而言，低身体活动水平的能量消耗通常占总能量消耗的1/3左右，而高身体活动水平者可高达1/2。加强和保持能量平衡，需要通过不断摸索，关注体重变化，找到食物摄入量和运动消耗量之间的平衡点。</w:t>
            </w:r>
          </w:p>
          <w:p w14:paraId="689559A5">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default"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六</w:t>
            </w:r>
            <w:r>
              <w:rPr>
                <w:rFonts w:hint="eastAsia" w:ascii="Calibri" w:hAnsi="宋体" w:eastAsia="宋体" w:cs="Times New Roman"/>
                <w:b w:val="0"/>
                <w:bCs/>
                <w:kern w:val="2"/>
                <w:sz w:val="24"/>
                <w:szCs w:val="24"/>
                <w:lang w:val="en-US" w:eastAsia="zh-CN" w:bidi="ar-SA"/>
              </w:rPr>
              <w:t>、老年人平衡膳食宝塔</w:t>
            </w:r>
          </w:p>
          <w:p w14:paraId="4330C885">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老年人平衡膳食宝塔的食物推荐数量和比例，与中国居民平衡膳食宝塔（2022）保持一致，仍为 5 层，各层面积大小不同，体现了5大类食物和食物量的多少。5大类食物：谷薯类（含全谷物和杂豆），蔬菜水果类，鱼禽蛋瘦肉类，奶类大豆坚果类，烹调油盐类。食物量是根据老年人的能量需要水平，按照1600～2400kcal/d设计。宝塔右边的文字注释，表明了老年人在不同能量需要水平时，一段时间内每人每天各类食物摄入量的建议值范围。基于老年人的生理特点，食物的制作方式宜保证易消化、易吸收，尽量选择高营养素密度食物。</w:t>
            </w:r>
          </w:p>
          <w:p w14:paraId="5057406F">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第一层：谷薯类：强调多样化，每天的杂粮要占到谷类的1/3。薯类、土豆也可作为主食。</w:t>
            </w:r>
          </w:p>
          <w:p w14:paraId="64CB7E6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第二层：蔬菜水果类：努力做到餐餐有蔬菜，多摄入叶菜类、十字花科及菌藻类蔬菜，其中深色蔬菜占1/2。天天有水果，每种吃的量少一些，品种多一些。</w:t>
            </w:r>
          </w:p>
          <w:p w14:paraId="254C089F">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三层：鱼禽蛋瘦肉类：为了满足老年人蛋白质的需求增加，鼓励摄入充足的动物性食物，多选择肉质细软、易咀嚼消化的肉制品，少刺或无刺的水产品。每天保证1个鸡蛋，每周至少两次水产品，总量达到300～500克；每周禽畜肉300～500克。</w:t>
            </w:r>
          </w:p>
          <w:p w14:paraId="4443388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第四层：奶类大豆坚果：不同奶类及奶制品如条件允许可以换着吃，每天宜摄入相当于300—500g液体奶的量。大豆类发酵或非发酵制品老年人可做多样选择。坚果每周70g左右。</w:t>
            </w:r>
          </w:p>
          <w:p w14:paraId="7FB9A72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第五层：烹调用油和盐：推荐老年人每天烹调油不超过25～30 g，盐＜5 g。</w:t>
            </w:r>
          </w:p>
          <w:p w14:paraId="535781D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老年人尤其高龄老人对能量需求降低，但对大多数营养素的需求并没有减少，如蛋白质、钙等需求反而增加。高龄、衰弱老年人往往存在进食受限，味觉、嗅觉、消化吸收能力降低，营养摄入不足，因此建议老年人选择营养素密度高的食物。可以在营养师的指导下，合理使用营养补充食品，如营养强化的中老年奶粉、优质蛋白粉、特殊医学用途配方食品等，以改善营养状况，维护身体功能，提高生活质量。</w:t>
            </w:r>
          </w:p>
          <w:p w14:paraId="58796FAB">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饮水：在温和气候条件下，老年人每天饮水适宜摄入量为1500～1700ml。在高温或高强度身体活动的情况下，应适当增加饮水量。</w:t>
            </w:r>
          </w:p>
          <w:p w14:paraId="77AEE451">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身体活动：鼓励老年人积极身体活动，保持BMI在20.0～26.9kg/m2的适宜范围。推荐 65～79岁老年人每周进行150～300分钟中等强度身体活动，如达不到应尽可能地增加各种力所能及的身体活动，并在有氧运动基础上重视肌肉力量练习和平衡运动。</w:t>
            </w:r>
          </w:p>
          <w:p w14:paraId="0FF0045A">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七</w:t>
            </w:r>
            <w:r>
              <w:rPr>
                <w:rFonts w:hint="eastAsia" w:ascii="Calibri" w:hAnsi="宋体" w:eastAsia="宋体" w:cs="Times New Roman"/>
                <w:b w:val="0"/>
                <w:bCs/>
                <w:kern w:val="2"/>
                <w:sz w:val="24"/>
                <w:szCs w:val="24"/>
                <w:lang w:val="en-US" w:eastAsia="zh-CN" w:bidi="ar-SA"/>
              </w:rPr>
              <w:t>、中国居民平衡膳食餐盘</w:t>
            </w:r>
          </w:p>
          <w:p w14:paraId="09FACE8A">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hAnsi="宋体"/>
                <w:bCs/>
                <w:sz w:val="24"/>
                <w:szCs w:val="24"/>
                <w:lang w:val="en-US" w:eastAsia="zh-CN"/>
              </w:rPr>
            </w:pPr>
            <w:r>
              <w:rPr>
                <w:rFonts w:hint="eastAsia" w:ascii="Calibri" w:hAnsi="宋体" w:eastAsia="宋体" w:cs="Times New Roman"/>
                <w:b w:val="0"/>
                <w:bCs/>
                <w:kern w:val="2"/>
                <w:sz w:val="24"/>
                <w:szCs w:val="24"/>
                <w:lang w:val="en-US" w:eastAsia="zh-CN" w:bidi="ar-SA"/>
              </w:rPr>
              <w:t>中国居民平衡膳食餐盘（Food Guide Plate）是按照平衡膳食原则，描述了一个人一餐中膳食的食物组成和大致比例。餐盘分成4部分，分别是谷薯类、动物性食物和富含蛋白质的大豆及其制品、蔬菜和水果，餐盘旁的一杯牛奶提示其重要性。</w:t>
            </w:r>
          </w:p>
        </w:tc>
        <w:tc>
          <w:tcPr>
            <w:tcW w:w="1696" w:type="dxa"/>
            <w:tcBorders>
              <w:tl2br w:val="nil"/>
              <w:tr2bl w:val="nil"/>
            </w:tcBorders>
            <w:vAlign w:val="center"/>
          </w:tcPr>
          <w:p w14:paraId="2BEDE5C4">
            <w:pPr>
              <w:keepNext w:val="0"/>
              <w:keepLines w:val="0"/>
              <w:suppressLineNumbers w:val="0"/>
              <w:spacing w:before="0" w:beforeAutospacing="0" w:after="0" w:afterAutospacing="0" w:line="360" w:lineRule="auto"/>
              <w:ind w:left="0" w:leftChars="0" w:right="0" w:rightChars="0"/>
              <w:jc w:val="left"/>
              <w:rPr>
                <w:rFonts w:hint="default" w:ascii="Times New Roman" w:hAnsi="Times New Roman"/>
                <w:b w:val="0"/>
                <w:bCs/>
                <w:sz w:val="24"/>
                <w:szCs w:val="24"/>
                <w:lang w:val="en-US"/>
              </w:rPr>
            </w:pPr>
            <w:r>
              <w:rPr>
                <w:rFonts w:hint="eastAsia" w:ascii="Times New Roman" w:hAnsi="Times New Roman"/>
                <w:b/>
                <w:sz w:val="24"/>
                <w:szCs w:val="24"/>
                <w:lang w:val="en-US" w:eastAsia="zh-CN"/>
              </w:rPr>
              <w:t>通</w:t>
            </w:r>
            <w:r>
              <w:rPr>
                <w:rFonts w:hint="eastAsia" w:ascii="Times New Roman" w:hAnsi="Times New Roman"/>
                <w:b/>
                <w:sz w:val="24"/>
                <w:szCs w:val="24"/>
              </w:rPr>
              <w:t>过教师讲解</w:t>
            </w:r>
            <w:r>
              <w:rPr>
                <w:rFonts w:hint="eastAsia" w:ascii="Times New Roman" w:hAnsi="Times New Roman"/>
                <w:b/>
                <w:sz w:val="24"/>
                <w:szCs w:val="24"/>
                <w:lang w:val="en-US" w:eastAsia="zh-CN"/>
              </w:rPr>
              <w:t>示范</w:t>
            </w:r>
            <w:r>
              <w:rPr>
                <w:rFonts w:hint="eastAsia" w:ascii="Times New Roman" w:hAnsi="Times New Roman"/>
                <w:b/>
                <w:sz w:val="24"/>
                <w:szCs w:val="24"/>
              </w:rPr>
              <w:t>，</w:t>
            </w:r>
            <w:r>
              <w:rPr>
                <w:rFonts w:hint="eastAsia" w:ascii="Times New Roman" w:hAnsi="Times New Roman"/>
                <w:b/>
                <w:sz w:val="24"/>
                <w:szCs w:val="24"/>
                <w:lang w:val="en-US" w:eastAsia="zh-CN"/>
              </w:rPr>
              <w:t>让中国居民膳食指南和老年人膳食指南的核心准则。</w:t>
            </w:r>
          </w:p>
        </w:tc>
      </w:tr>
      <w:tr w14:paraId="08E008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5743BE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shd w:val="clear" w:color="auto" w:fill="auto"/>
            <w:vAlign w:val="center"/>
          </w:tcPr>
          <w:p w14:paraId="1164F68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1293BF6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陈述中国居民平衡膳食宝塔（2022）的内容？</w:t>
            </w:r>
          </w:p>
        </w:tc>
        <w:tc>
          <w:tcPr>
            <w:tcW w:w="1696" w:type="dxa"/>
            <w:tcBorders>
              <w:tl2br w:val="nil"/>
              <w:tr2bl w:val="nil"/>
            </w:tcBorders>
            <w:shd w:val="clear" w:color="auto" w:fill="auto"/>
            <w:vAlign w:val="center"/>
          </w:tcPr>
          <w:p w14:paraId="43EC604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63CEBEC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60EE698">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lang w:val="en-US" w:eastAsia="zh-CN"/>
              </w:rPr>
            </w:pPr>
            <w:r>
              <w:rPr>
                <w:rFonts w:hint="eastAsia" w:ascii="微软雅黑" w:hAnsi="微软雅黑" w:eastAsia="微软雅黑"/>
                <w:b/>
                <w:sz w:val="24"/>
                <w:szCs w:val="24"/>
                <w:lang w:eastAsia="zh-CN"/>
              </w:rPr>
              <w:t>知识讲解</w:t>
            </w:r>
            <w:r>
              <w:rPr>
                <w:rFonts w:hint="eastAsia" w:ascii="微软雅黑" w:hAnsi="微软雅黑" w:eastAsia="微软雅黑"/>
                <w:b/>
                <w:sz w:val="24"/>
                <w:szCs w:val="24"/>
                <w:lang w:val="en-US" w:eastAsia="zh-CN"/>
              </w:rPr>
              <w:t>与运用</w:t>
            </w:r>
          </w:p>
          <w:p w14:paraId="2FBC463E">
            <w:pPr>
              <w:keepNext w:val="0"/>
              <w:keepLines w:val="0"/>
              <w:suppressLineNumbers w:val="0"/>
              <w:spacing w:before="0" w:beforeAutospacing="0" w:after="0" w:afterAutospacing="0" w:line="360" w:lineRule="auto"/>
              <w:ind w:left="0" w:leftChars="0" w:right="0" w:rightChars="0" w:hanging="8" w:firstLineChars="0"/>
              <w:jc w:val="center"/>
              <w:rPr>
                <w:rFonts w:hint="eastAsia" w:ascii="微软雅黑" w:hAnsi="微软雅黑" w:eastAsia="微软雅黑" w:cs="微软雅黑"/>
                <w:b/>
                <w:bCs w:val="0"/>
                <w:kern w:val="2"/>
                <w:sz w:val="24"/>
                <w:szCs w:val="24"/>
                <w:lang w:val="en-US" w:eastAsia="zh-CN" w:bidi="ar"/>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3639075C">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老年人营养指导</w:t>
            </w:r>
          </w:p>
          <w:p w14:paraId="79D59E34">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八、食物交换份法编制营养食谱</w:t>
            </w:r>
          </w:p>
          <w:p w14:paraId="7FDE4E87">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w:t>
            </w:r>
            <w:r>
              <w:rPr>
                <w:rFonts w:hint="eastAsia" w:ascii="Calibri" w:hAnsi="宋体" w:eastAsia="宋体" w:cs="Times New Roman"/>
                <w:b w:val="0"/>
                <w:bCs/>
                <w:kern w:val="2"/>
                <w:sz w:val="24"/>
                <w:szCs w:val="24"/>
                <w:lang w:val="en-US" w:eastAsia="zh-CN" w:bidi="ar-SA"/>
              </w:rPr>
              <w:t>一</w:t>
            </w:r>
            <w:r>
              <w:rPr>
                <w:rFonts w:hint="eastAsia" w:hAnsi="宋体" w:cs="Times New Roman"/>
                <w:b w:val="0"/>
                <w:bCs/>
                <w:kern w:val="2"/>
                <w:sz w:val="24"/>
                <w:szCs w:val="24"/>
                <w:lang w:val="en-US" w:eastAsia="zh-CN" w:bidi="ar-SA"/>
              </w:rPr>
              <w:t>）</w:t>
            </w:r>
            <w:r>
              <w:rPr>
                <w:rFonts w:hint="eastAsia" w:ascii="Calibri" w:hAnsi="宋体" w:eastAsia="宋体" w:cs="Times New Roman"/>
                <w:b w:val="0"/>
                <w:bCs/>
                <w:kern w:val="2"/>
                <w:sz w:val="24"/>
                <w:szCs w:val="24"/>
                <w:lang w:val="en-US" w:eastAsia="zh-CN" w:bidi="ar-SA"/>
              </w:rPr>
              <w:t>、饮食调配原则</w:t>
            </w:r>
          </w:p>
          <w:p w14:paraId="569B9682">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1、首先要满足人体对于营养素的需要量  饮食调配应该按照营养素的参考摄入量选择各种食物，使其在质和量方面符合合理营养原则，能组成平衡饮食以充分满足机体的需要。</w:t>
            </w:r>
          </w:p>
          <w:p w14:paraId="7DCDAD46">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2、合理安排餐次  有足够食物后，还要计划如何将每天所需的食物适当地分配在全天的各餐之中，配成饭菜，按时定量供给，这就要求有合理的饮食制度，在配餐工作中，应该考虑如何将每天的食物适当地分配在各餐，定时定量供给用餐者。</w:t>
            </w:r>
          </w:p>
          <w:p w14:paraId="03DDBCCA">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3、改善食物的感官性状  食物的色、香、味等感官性状，是食物对人体的条件刺激因素，可以形成条件反射，并且影响食物中枢的兴奋或抑制过程，应要求饭菜色彩调和，香气扑鼻，滋味鲜美；同时也要不断调换食品的品种和烹调方法，尽量做到多种多样，富有变化。这样不仅可以保持大脑皮质的适度兴奋，促进食欲，有利于食物的消化吸收；同时饭菜的多样化，可充分利用各种食物在营养价值上的各自特点，及营养互补作用。所以在饮食调配中，既应选择富有营养的食物，加以适当烹调，使其色、香、味良好；还要不断变换花色品种，尽量避免每天每餐饭菜的重复。有时限于食物品种不能变换时，就要采用不同的烹调方法。</w:t>
            </w:r>
          </w:p>
          <w:p w14:paraId="39572A6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4、还应有一定容积和饱腹感  为了避免消化系统的过分负担，每餐食物的容积不能过大；但是容积过小，也容易出现饥饿感。饱腹感和饥饿感是许多因素对机体综合作用的结果，而食物的容积也是重要因素之一，所以饭菜必须具有一定的容积，应该由粗糙和精制、固体和流质及浓缩和稀薄的食物适当配合而成，以便使人在进食后一定时间内具有饱腹感，但容积又不应过大，以致损胃肠的正常功能。</w:t>
            </w:r>
          </w:p>
          <w:p w14:paraId="53E200E1">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5、配餐时还要注意季节的变换  通常夏季饭菜应清淡爽口，并可适当选用具有酸味和辛香的食物以增进食欲。冬季饭菜则以浓厚为宜，可以富有油脂，味浓色重。照顾用餐者饮食习惯，在配餐工作中绝对不能忽视。各个民族，各地区人民及某个人的饮食习惯，是长期适应一定的生活环境与条件所形成的结果。通常选用他们所喜欢的食物品种，并且按照其最习惯的方法加以烹调，才能使这些食物可以被充分消化吸收和利用，所以对于传统饮食习惯应该尽量加以照顾。至于有些有害健康的不良饮食习惯，应该通过宣传教育，逐渐加以纠正，不能操之过急。还有些由于社会历史条件而造成的偏食习惯，除宣传教育以外，也要采取具体措施，供应多种多样富有营养的食物，使不合理的偏食习惯逐渐得到改变。</w:t>
            </w:r>
          </w:p>
          <w:p w14:paraId="643AB8B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w:t>
            </w:r>
            <w:r>
              <w:rPr>
                <w:rFonts w:hint="eastAsia" w:ascii="Calibri" w:hAnsi="宋体" w:eastAsia="宋体" w:cs="Times New Roman"/>
                <w:b w:val="0"/>
                <w:bCs/>
                <w:kern w:val="2"/>
                <w:sz w:val="24"/>
                <w:szCs w:val="24"/>
                <w:lang w:val="en-US" w:eastAsia="zh-CN" w:bidi="ar-SA"/>
              </w:rPr>
              <w:t>二</w:t>
            </w:r>
            <w:r>
              <w:rPr>
                <w:rFonts w:hint="eastAsia" w:hAnsi="宋体" w:cs="Times New Roman"/>
                <w:b w:val="0"/>
                <w:bCs/>
                <w:kern w:val="2"/>
                <w:sz w:val="24"/>
                <w:szCs w:val="24"/>
                <w:lang w:val="en-US" w:eastAsia="zh-CN" w:bidi="ar-SA"/>
              </w:rPr>
              <w:t>）</w:t>
            </w:r>
            <w:r>
              <w:rPr>
                <w:rFonts w:hint="eastAsia" w:ascii="Calibri" w:hAnsi="宋体" w:eastAsia="宋体" w:cs="Times New Roman"/>
                <w:b w:val="0"/>
                <w:bCs/>
                <w:kern w:val="2"/>
                <w:sz w:val="24"/>
                <w:szCs w:val="24"/>
                <w:lang w:val="en-US" w:eastAsia="zh-CN" w:bidi="ar-SA"/>
              </w:rPr>
              <w:t>、食谱编制原则</w:t>
            </w:r>
          </w:p>
          <w:p w14:paraId="3375B240">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食谱是合理调配食物以达到合理膳食要求而安排的膳食计划，是根据用膳者的营养需要、饮食习惯和食物供应情况，将每日各餐主、副食的品种、数量、烹调方法、用餐时间排列成表，制定在一定时间内每餐食物的配制计划。食谱有一日食谱和—周食谱之分。一周食谱是在一日食谱的基础上，统筹顾及每日摄食品种以及营养素摄入量而产生的。制定—周食谱时，应使每天的莱肴有变化，尽量不重复。</w:t>
            </w:r>
          </w:p>
          <w:p w14:paraId="1D91502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食谱编制是合理营养的具体措施，是社会营养的重要工作内容，食谱编制应遵循以下原则：</w:t>
            </w:r>
          </w:p>
          <w:p w14:paraId="18FFEFB7">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1、满足每日膳食营养素及热能的供给量：要根据用膳者的年龄、生理特点、劳动强度，选用计算各种食物用量，使—周内平均每日热能及营养素摄入量能达到膳食供给量标准，以满足人体的需要。</w:t>
            </w:r>
          </w:p>
          <w:p w14:paraId="0A6E0593">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2、各营养素之间比例适当：除了全面达到热能和各种营养素的需要量外，还要考虑到产热营养素的供热比例，各营养素之间的合适比例，充分利用不同食物中营养素之间的互补作用，使其发挥最佳协同作用。</w:t>
            </w:r>
          </w:p>
          <w:p w14:paraId="34FE0FE8">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3、食物多样：“中国居民平衡膳食宝塔”将食物分成谷薯类、蔬菜水果类、动物性食物、大豆坚果类以及油脂类，共五层。每天应从每一层食物中选用1～3种适量食物，组成平衡膳食；对同一类食物可更换品种和烹调方法，如以粮换粮，以豆抵豆，以蔬菜换蔬菜，尽量做到主食有米有面有杂粮，副食有荤有素有汤，注意菜肴的色、香、味、形。</w:t>
            </w:r>
          </w:p>
          <w:p w14:paraId="3F55D3B4">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4、食品安全无害：食物要新鲜卫生，符合国家卫生标准；注意防止食物再污染。</w:t>
            </w:r>
          </w:p>
          <w:p w14:paraId="7A4EF6E6">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5、科学加工烹调：应选择合理加工烹调方法，尽量减少营养素的损失。</w:t>
            </w:r>
          </w:p>
          <w:p w14:paraId="66B7FC87">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6、及时更换调整食谱：每1～2周可更换一次食谱。食谱执行一段时间后应对其效果进行评价，不断调整食谱。</w:t>
            </w:r>
          </w:p>
          <w:p w14:paraId="29CCEF8E">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宋体" w:hAnsi="宋体" w:cs="宋体"/>
                <w:bCs/>
                <w:kern w:val="2"/>
                <w:sz w:val="24"/>
                <w:szCs w:val="24"/>
                <w:lang w:val="en-US" w:eastAsia="zh-CN" w:bidi="ar"/>
              </w:rPr>
            </w:pPr>
            <w:r>
              <w:rPr>
                <w:rFonts w:hint="eastAsia" w:ascii="Calibri" w:hAnsi="宋体" w:eastAsia="宋体" w:cs="Times New Roman"/>
                <w:b w:val="0"/>
                <w:bCs/>
                <w:kern w:val="2"/>
                <w:sz w:val="24"/>
                <w:szCs w:val="24"/>
                <w:lang w:val="en-US" w:eastAsia="zh-CN" w:bidi="ar-SA"/>
              </w:rPr>
              <w:t>此外，在编制食谱时，还要考虑到用膳者的饮食习惯、经济能力及当地食物品种、生产情况。</w:t>
            </w:r>
          </w:p>
        </w:tc>
        <w:tc>
          <w:tcPr>
            <w:tcW w:w="1696" w:type="dxa"/>
            <w:tcBorders>
              <w:tl2br w:val="nil"/>
              <w:tr2bl w:val="nil"/>
            </w:tcBorders>
            <w:vAlign w:val="center"/>
          </w:tcPr>
          <w:p w14:paraId="2E56C974">
            <w:pPr>
              <w:keepNext w:val="0"/>
              <w:keepLines w:val="0"/>
              <w:suppressLineNumbers w:val="0"/>
              <w:spacing w:before="0" w:beforeAutospacing="0" w:after="0" w:afterAutospacing="0" w:line="360" w:lineRule="auto"/>
              <w:ind w:left="0" w:leftChars="0" w:right="0" w:rightChars="0"/>
              <w:jc w:val="left"/>
              <w:rPr>
                <w:rFonts w:hint="eastAsia" w:ascii="宋体" w:hAnsi="宋体" w:eastAsia="宋体" w:cs="宋体"/>
                <w:b w:val="0"/>
                <w:bCs/>
                <w:kern w:val="2"/>
                <w:sz w:val="24"/>
                <w:szCs w:val="24"/>
                <w:lang w:val="en-US" w:eastAsia="zh-CN" w:bidi="ar"/>
              </w:rPr>
            </w:pPr>
            <w:r>
              <w:rPr>
                <w:rFonts w:hint="eastAsia" w:ascii="Times New Roman" w:hAnsi="Times New Roman"/>
                <w:b/>
                <w:sz w:val="24"/>
                <w:szCs w:val="24"/>
                <w:lang w:val="en-US" w:eastAsia="zh-CN"/>
              </w:rPr>
              <w:t>通</w:t>
            </w:r>
            <w:r>
              <w:rPr>
                <w:rFonts w:hint="eastAsia" w:ascii="Times New Roman" w:hAnsi="Times New Roman"/>
                <w:b/>
                <w:sz w:val="24"/>
                <w:szCs w:val="24"/>
              </w:rPr>
              <w:t>过教师讲解</w:t>
            </w:r>
            <w:r>
              <w:rPr>
                <w:rFonts w:hint="eastAsia" w:ascii="Times New Roman" w:hAnsi="Times New Roman"/>
                <w:b/>
                <w:sz w:val="24"/>
                <w:szCs w:val="24"/>
                <w:lang w:val="en-US" w:eastAsia="zh-CN"/>
              </w:rPr>
              <w:t>示范</w:t>
            </w:r>
            <w:r>
              <w:rPr>
                <w:rFonts w:hint="eastAsia" w:ascii="Times New Roman" w:hAnsi="Times New Roman"/>
                <w:b/>
                <w:sz w:val="24"/>
                <w:szCs w:val="24"/>
              </w:rPr>
              <w:t>，</w:t>
            </w:r>
            <w:r>
              <w:rPr>
                <w:rFonts w:hint="eastAsia" w:ascii="Times New Roman" w:hAnsi="Times New Roman"/>
                <w:b/>
                <w:sz w:val="24"/>
                <w:szCs w:val="24"/>
                <w:lang w:val="en-US" w:eastAsia="zh-CN"/>
              </w:rPr>
              <w:t>让学生掌握食物编制的基本理论知识</w:t>
            </w:r>
            <w:r>
              <w:rPr>
                <w:rFonts w:hint="eastAsia" w:ascii="Times New Roman" w:hAnsi="Times New Roman"/>
                <w:b/>
                <w:sz w:val="24"/>
                <w:szCs w:val="24"/>
              </w:rPr>
              <w:t>。</w:t>
            </w:r>
          </w:p>
        </w:tc>
      </w:tr>
      <w:tr w14:paraId="693C815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B6E52F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A77313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3BAE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cs="宋体"/>
                <w:bCs/>
                <w:kern w:val="2"/>
                <w:sz w:val="24"/>
                <w:szCs w:val="24"/>
                <w:lang w:val="en-US" w:eastAsia="zh-CN" w:bidi="ar"/>
              </w:rPr>
            </w:pPr>
            <w:r>
              <w:rPr>
                <w:rFonts w:hint="eastAsia" w:hAnsi="宋体" w:cs="Times New Roman"/>
                <w:b w:val="0"/>
                <w:bCs/>
                <w:kern w:val="2"/>
                <w:sz w:val="24"/>
                <w:szCs w:val="24"/>
                <w:lang w:val="en-US" w:eastAsia="zh-CN" w:bidi="ar-SA"/>
              </w:rPr>
              <w:t>如何让食物具</w:t>
            </w:r>
            <w:r>
              <w:rPr>
                <w:rFonts w:hint="eastAsia" w:ascii="Calibri" w:hAnsi="宋体" w:eastAsia="宋体" w:cs="Times New Roman"/>
                <w:b w:val="0"/>
                <w:bCs/>
                <w:kern w:val="2"/>
                <w:sz w:val="24"/>
                <w:szCs w:val="24"/>
                <w:lang w:val="en-US" w:eastAsia="zh-CN" w:bidi="ar-SA"/>
              </w:rPr>
              <w:t>有一定容积和饱腹感</w:t>
            </w:r>
            <w:r>
              <w:rPr>
                <w:rFonts w:hint="eastAsia" w:ascii="宋体" w:hAnsi="宋体" w:cs="宋体"/>
                <w:bCs/>
                <w:kern w:val="2"/>
                <w:sz w:val="24"/>
                <w:szCs w:val="24"/>
                <w:lang w:val="en-US" w:eastAsia="zh-CN" w:bidi="ar"/>
              </w:rPr>
              <w:t>？</w:t>
            </w:r>
          </w:p>
        </w:tc>
        <w:tc>
          <w:tcPr>
            <w:tcW w:w="1696" w:type="dxa"/>
            <w:tcBorders>
              <w:tl2br w:val="nil"/>
              <w:tr2bl w:val="nil"/>
            </w:tcBorders>
            <w:vAlign w:val="center"/>
          </w:tcPr>
          <w:p w14:paraId="45C1BA4A">
            <w:pPr>
              <w:keepNext w:val="0"/>
              <w:keepLines w:val="0"/>
              <w:widowControl w:val="0"/>
              <w:suppressLineNumbers w:val="0"/>
              <w:spacing w:before="0" w:beforeAutospacing="0" w:after="0" w:afterAutospacing="0" w:line="360" w:lineRule="auto"/>
              <w:ind w:left="0" w:leftChars="0" w:right="0" w:rightChars="0"/>
              <w:jc w:val="left"/>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通过课后练习，使学生巩固所学新知识</w:t>
            </w:r>
          </w:p>
        </w:tc>
      </w:tr>
      <w:tr w14:paraId="149CF13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78034F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lang w:val="en-US" w:eastAsia="zh-CN"/>
              </w:rPr>
            </w:pPr>
            <w:r>
              <w:rPr>
                <w:rFonts w:hint="eastAsia" w:ascii="微软雅黑" w:hAnsi="微软雅黑" w:eastAsia="微软雅黑"/>
                <w:b/>
                <w:sz w:val="24"/>
                <w:szCs w:val="24"/>
                <w:lang w:eastAsia="zh-CN"/>
              </w:rPr>
              <w:t>知识讲解</w:t>
            </w:r>
            <w:r>
              <w:rPr>
                <w:rFonts w:hint="eastAsia" w:ascii="微软雅黑" w:hAnsi="微软雅黑" w:eastAsia="微软雅黑"/>
                <w:b/>
                <w:sz w:val="24"/>
                <w:szCs w:val="24"/>
                <w:lang w:val="en-US" w:eastAsia="zh-CN"/>
              </w:rPr>
              <w:t>与运用</w:t>
            </w:r>
          </w:p>
          <w:p w14:paraId="1D775E2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微软雅黑" w:hAnsi="微软雅黑" w:eastAsia="微软雅黑" w:cs="微软雅黑"/>
                <w:b/>
                <w:bCs w:val="0"/>
                <w:kern w:val="2"/>
                <w:sz w:val="24"/>
                <w:szCs w:val="24"/>
                <w:lang w:val="en-US" w:eastAsia="zh-CN" w:bidi="ar"/>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680BA7BC">
            <w:pPr>
              <w:keepNext w:val="0"/>
              <w:keepLines w:val="0"/>
              <w:widowControl/>
              <w:numPr>
                <w:ilvl w:val="0"/>
                <w:numId w:val="0"/>
              </w:numPr>
              <w:suppressLineNumbers w:val="0"/>
              <w:spacing w:before="0" w:beforeAutospacing="0" w:after="0" w:afterAutospacing="0" w:line="360" w:lineRule="auto"/>
              <w:ind w:left="0" w:right="0" w:rightChars="0"/>
              <w:jc w:val="left"/>
              <w:rPr>
                <w:rFonts w:hint="eastAsia" w:ascii="宋体" w:hAnsi="宋体" w:cs="宋体"/>
                <w:b/>
                <w:bCs w:val="0"/>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老年人营养指导</w:t>
            </w:r>
          </w:p>
          <w:p w14:paraId="187172DD">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hAnsi="宋体" w:cs="Times New Roman"/>
                <w:b w:val="0"/>
                <w:bCs/>
                <w:kern w:val="2"/>
                <w:sz w:val="24"/>
                <w:szCs w:val="24"/>
                <w:lang w:val="en-US" w:eastAsia="zh-CN" w:bidi="ar-SA"/>
              </w:rPr>
              <w:t>十</w:t>
            </w:r>
            <w:r>
              <w:rPr>
                <w:rFonts w:hint="eastAsia" w:ascii="Calibri" w:hAnsi="宋体" w:eastAsia="宋体" w:cs="Times New Roman"/>
                <w:b w:val="0"/>
                <w:bCs/>
                <w:kern w:val="2"/>
                <w:sz w:val="24"/>
                <w:szCs w:val="24"/>
                <w:lang w:val="en-US" w:eastAsia="zh-CN" w:bidi="ar-SA"/>
              </w:rPr>
              <w:t>、食物交换份法编制营养食谱</w:t>
            </w:r>
          </w:p>
          <w:p w14:paraId="4F079EEB">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食物交换份法是将常用食物按其所含营养素量的近似值归为五类：谷薯类、动物性食品、豆类及其制品、蔬菜水果类和纯能量食物，计算出每类食物每份所含的营养素值和食物质量。每个交换份的同类食品中蛋白质、脂肪、糖类等营养素含量相似。因此，在制订食谱时同类的各种食品可以相互交换。由此可根据对象不同的能量需要，按蛋白质、脂肪和糖类的合理分配比例，计算出各类食物的交换份数和实际重量，并按每份食物等值交换表选择食物。本法对病人和正常人都适用。相对于营养成分计算法，食物交换份法简单易行，易于被非专业人员掌握。</w:t>
            </w:r>
          </w:p>
          <w:p w14:paraId="1481AC6E">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食品交换份法比较简单，但也比较粗略。实际应用中，可将营养成分计算法与食品交换份法结合进行计算。首先用营养成分计算法确定食物的需要量，然后用食物交换份法确定食物种类和数量，通过同类食物的互换，可设计出一周、一月食谱。</w:t>
            </w:r>
          </w:p>
          <w:p w14:paraId="711609C9">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default"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食物交换份法</w:t>
            </w:r>
            <w:r>
              <w:rPr>
                <w:rFonts w:hint="eastAsia" w:hAnsi="宋体" w:cs="Times New Roman"/>
                <w:b w:val="0"/>
                <w:bCs/>
                <w:kern w:val="2"/>
                <w:sz w:val="24"/>
                <w:szCs w:val="24"/>
                <w:lang w:val="en-US" w:eastAsia="zh-CN" w:bidi="ar-SA"/>
              </w:rPr>
              <w:t>编制营养食谱：</w:t>
            </w:r>
          </w:p>
          <w:p w14:paraId="1C29051F">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步骤1、确定食物交换份分配方案</w:t>
            </w:r>
          </w:p>
          <w:p w14:paraId="6BFD9DDC">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宋体" w:hAnsi="宋体" w:cs="宋体"/>
                <w:bCs/>
                <w:kern w:val="2"/>
                <w:sz w:val="24"/>
                <w:szCs w:val="24"/>
                <w:lang w:val="en-US" w:eastAsia="zh-CN" w:bidi="ar"/>
              </w:rPr>
            </w:pPr>
            <w:r>
              <w:rPr>
                <w:rFonts w:hint="eastAsia" w:ascii="Calibri" w:hAnsi="宋体" w:eastAsia="宋体" w:cs="Times New Roman"/>
                <w:b w:val="0"/>
                <w:bCs/>
                <w:kern w:val="2"/>
                <w:sz w:val="24"/>
                <w:szCs w:val="24"/>
                <w:lang w:val="en-US" w:eastAsia="zh-CN" w:bidi="ar-SA"/>
              </w:rPr>
              <w:t>步骤2：编制营养食谱</w:t>
            </w:r>
          </w:p>
        </w:tc>
        <w:tc>
          <w:tcPr>
            <w:tcW w:w="1696" w:type="dxa"/>
            <w:tcBorders>
              <w:tl2br w:val="nil"/>
              <w:tr2bl w:val="nil"/>
            </w:tcBorders>
            <w:vAlign w:val="center"/>
          </w:tcPr>
          <w:p w14:paraId="3D931B98">
            <w:pPr>
              <w:keepNext w:val="0"/>
              <w:keepLines w:val="0"/>
              <w:widowControl w:val="0"/>
              <w:suppressLineNumbers w:val="0"/>
              <w:spacing w:before="0" w:beforeAutospacing="0" w:after="0" w:afterAutospacing="0" w:line="360" w:lineRule="auto"/>
              <w:ind w:left="0" w:leftChars="0" w:right="0" w:rightChars="0"/>
              <w:jc w:val="left"/>
              <w:rPr>
                <w:rFonts w:hint="default" w:ascii="宋体" w:hAnsi="宋体" w:eastAsia="宋体" w:cs="宋体"/>
                <w:b w:val="0"/>
                <w:bCs/>
                <w:kern w:val="2"/>
                <w:sz w:val="24"/>
                <w:szCs w:val="24"/>
                <w:lang w:val="en-US" w:eastAsia="zh-CN" w:bidi="ar"/>
              </w:rPr>
            </w:pPr>
            <w:r>
              <w:rPr>
                <w:rFonts w:hint="eastAsia" w:ascii="Times New Roman" w:hAnsi="Times New Roman"/>
                <w:b/>
                <w:sz w:val="24"/>
                <w:szCs w:val="24"/>
                <w:lang w:val="en-US" w:eastAsia="zh-CN"/>
              </w:rPr>
              <w:t>通</w:t>
            </w:r>
            <w:r>
              <w:rPr>
                <w:rFonts w:hint="eastAsia" w:ascii="Times New Roman" w:hAnsi="Times New Roman"/>
                <w:b/>
                <w:sz w:val="24"/>
                <w:szCs w:val="24"/>
              </w:rPr>
              <w:t>过教师讲解</w:t>
            </w:r>
            <w:r>
              <w:rPr>
                <w:rFonts w:hint="eastAsia" w:ascii="Times New Roman" w:hAnsi="Times New Roman"/>
                <w:b/>
                <w:sz w:val="24"/>
                <w:szCs w:val="24"/>
                <w:lang w:val="en-US" w:eastAsia="zh-CN"/>
              </w:rPr>
              <w:t>示范</w:t>
            </w:r>
            <w:r>
              <w:rPr>
                <w:rFonts w:hint="eastAsia" w:ascii="Times New Roman" w:hAnsi="Times New Roman"/>
                <w:b/>
                <w:sz w:val="24"/>
                <w:szCs w:val="24"/>
              </w:rPr>
              <w:t>，</w:t>
            </w:r>
            <w:r>
              <w:rPr>
                <w:rFonts w:hint="eastAsia" w:ascii="Times New Roman" w:hAnsi="Times New Roman"/>
                <w:b/>
                <w:sz w:val="24"/>
                <w:szCs w:val="24"/>
                <w:lang w:val="en-US" w:eastAsia="zh-CN"/>
              </w:rPr>
              <w:t>让学生掌握食物交换份法编制营养食谱的方法。</w:t>
            </w:r>
          </w:p>
        </w:tc>
      </w:tr>
      <w:tr w14:paraId="167595E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1DBD8B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863737C">
            <w:pPr>
              <w:keepNext w:val="0"/>
              <w:keepLines w:val="0"/>
              <w:widowControl w:val="0"/>
              <w:suppressLineNumbers w:val="0"/>
              <w:spacing w:before="0" w:beforeAutospacing="0" w:after="0" w:afterAutospacing="0" w:line="360" w:lineRule="auto"/>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shd w:val="clear" w:color="auto" w:fill="auto"/>
            <w:vAlign w:val="center"/>
          </w:tcPr>
          <w:p w14:paraId="53C715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05CDE4B">
            <w:pPr>
              <w:keepNext w:val="0"/>
              <w:keepLines w:val="0"/>
              <w:suppressLineNumbers w:val="0"/>
              <w:spacing w:before="0" w:beforeAutospacing="0" w:after="0" w:afterAutospacing="0" w:line="360" w:lineRule="auto"/>
              <w:ind w:left="239" w:leftChars="114" w:right="0" w:rightChars="0" w:firstLine="472" w:firstLineChars="196"/>
              <w:rPr>
                <w:rFonts w:hint="eastAsia" w:ascii="宋体" w:hAnsi="宋体" w:eastAsia="宋体" w:cs="宋体"/>
                <w:bCs/>
                <w:kern w:val="2"/>
                <w:sz w:val="24"/>
                <w:szCs w:val="24"/>
                <w:lang w:val="en-US" w:eastAsia="zh-CN" w:bidi="ar"/>
              </w:rPr>
            </w:pPr>
            <w:r>
              <w:rPr>
                <w:rFonts w:hint="eastAsia" w:ascii="宋体" w:hAnsi="宋体" w:cs="宋体"/>
                <w:b/>
                <w:bCs w:val="0"/>
                <w:kern w:val="2"/>
                <w:sz w:val="24"/>
                <w:szCs w:val="24"/>
                <w:lang w:val="en-US" w:eastAsia="zh-CN" w:bidi="ar"/>
              </w:rPr>
              <w:t>这次课我们一起学习了推荐摄入量、适一般人群膳食指南的核八条平衡膳食准则、老年人膳食指南核心准则、食物交换份等知识，具备了运用食物交换份法编制营养食谱的能力。</w:t>
            </w:r>
          </w:p>
        </w:tc>
        <w:tc>
          <w:tcPr>
            <w:tcW w:w="1696" w:type="dxa"/>
            <w:tcBorders>
              <w:tl2br w:val="nil"/>
              <w:tr2bl w:val="nil"/>
            </w:tcBorders>
            <w:shd w:val="clear" w:color="auto" w:fill="auto"/>
            <w:vAlign w:val="center"/>
          </w:tcPr>
          <w:p w14:paraId="304D2536">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b w:val="0"/>
                <w:bCs/>
                <w:kern w:val="2"/>
                <w:sz w:val="24"/>
                <w:szCs w:val="24"/>
                <w:lang w:val="en-US" w:eastAsia="zh-CN" w:bidi="ar"/>
              </w:rPr>
            </w:pPr>
            <w:r>
              <w:rPr>
                <w:rFonts w:hint="eastAsia" w:ascii="宋体" w:hAnsi="宋体" w:eastAsia="宋体" w:cs="宋体"/>
                <w:kern w:val="2"/>
                <w:sz w:val="24"/>
                <w:szCs w:val="24"/>
                <w:lang w:val="en-US" w:eastAsia="zh-CN" w:bidi="ar"/>
              </w:rPr>
              <w:t>通过对所学知识的回顾，培养学生的归纳总结能力</w:t>
            </w:r>
          </w:p>
        </w:tc>
      </w:tr>
      <w:tr w14:paraId="0DAECF2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A5E560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shd w:val="clear" w:color="auto" w:fill="auto"/>
            <w:vAlign w:val="center"/>
          </w:tcPr>
          <w:p w14:paraId="0352B1D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1112ABB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kern w:val="2"/>
                <w:sz w:val="24"/>
                <w:szCs w:val="24"/>
                <w:lang w:val="en-US" w:eastAsia="zh-CN" w:bidi="ar"/>
              </w:rPr>
            </w:pPr>
            <w:r>
              <w:rPr>
                <w:rFonts w:hint="eastAsia" w:ascii="Times New Roman" w:hAnsi="Times New Roman"/>
                <w:sz w:val="24"/>
                <w:szCs w:val="24"/>
                <w:lang w:val="en-US" w:eastAsia="zh-CN"/>
              </w:rPr>
              <w:t>运用食物交换法编制个人营养食物</w:t>
            </w:r>
            <w:r>
              <w:rPr>
                <w:rFonts w:hint="default" w:ascii="Times New Roman" w:hAnsi="Times New Roman"/>
                <w:sz w:val="24"/>
                <w:szCs w:val="24"/>
              </w:rPr>
              <w:t>。</w:t>
            </w:r>
          </w:p>
        </w:tc>
        <w:tc>
          <w:tcPr>
            <w:tcW w:w="1696" w:type="dxa"/>
            <w:tcBorders>
              <w:tl2br w:val="nil"/>
              <w:tr2bl w:val="nil"/>
            </w:tcBorders>
            <w:shd w:val="clear" w:color="auto" w:fill="auto"/>
            <w:vAlign w:val="center"/>
          </w:tcPr>
          <w:p w14:paraId="08A4A47A">
            <w:pPr>
              <w:keepNext w:val="0"/>
              <w:keepLines w:val="0"/>
              <w:widowControl w:val="0"/>
              <w:suppressLineNumbers w:val="0"/>
              <w:spacing w:before="0" w:beforeAutospacing="0" w:after="0" w:afterAutospacing="0" w:line="360" w:lineRule="auto"/>
              <w:ind w:left="0" w:leftChars="0" w:right="0" w:rightChars="0"/>
              <w:jc w:val="left"/>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还可以运用哪些方法编制营养食谱？</w:t>
            </w:r>
          </w:p>
        </w:tc>
      </w:tr>
    </w:tbl>
    <w:p w14:paraId="3BABA4C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04ACF8"/>
    <w:multiLevelType w:val="singleLevel"/>
    <w:tmpl w:val="C104ACF8"/>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C2A050B"/>
    <w:rsid w:val="1FB84519"/>
    <w:rsid w:val="20F13C9B"/>
    <w:rsid w:val="21ED3737"/>
    <w:rsid w:val="238347DF"/>
    <w:rsid w:val="24B477DD"/>
    <w:rsid w:val="278141AB"/>
    <w:rsid w:val="28B578A7"/>
    <w:rsid w:val="2FBD002D"/>
    <w:rsid w:val="322A12C5"/>
    <w:rsid w:val="34AD60CD"/>
    <w:rsid w:val="34B67F89"/>
    <w:rsid w:val="368D542E"/>
    <w:rsid w:val="388B134B"/>
    <w:rsid w:val="3BDF41F2"/>
    <w:rsid w:val="3BE470C3"/>
    <w:rsid w:val="436C72A2"/>
    <w:rsid w:val="43CD7F64"/>
    <w:rsid w:val="44B33A23"/>
    <w:rsid w:val="45C91BBA"/>
    <w:rsid w:val="469F2CE5"/>
    <w:rsid w:val="49F8701E"/>
    <w:rsid w:val="4C7F0E23"/>
    <w:rsid w:val="5A7C6694"/>
    <w:rsid w:val="600E33E1"/>
    <w:rsid w:val="622A303A"/>
    <w:rsid w:val="723010AC"/>
    <w:rsid w:val="75B75A13"/>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unhideWhenUsed/>
    <w:qFormat/>
    <w:uiPriority w:val="0"/>
    <w:rPr>
      <w:rFonts w:eastAsia="黑体" w:asciiTheme="majorHAnsi" w:hAnsiTheme="majorHAnsi" w:cstheme="majorBidi"/>
      <w:sz w:val="20"/>
      <w:szCs w:val="20"/>
    </w:rPr>
  </w:style>
  <w:style w:type="paragraph" w:styleId="8">
    <w:name w:val="footer"/>
    <w:basedOn w:val="1"/>
    <w:link w:val="20"/>
    <w:unhideWhenUsed/>
    <w:qFormat/>
    <w:uiPriority w:val="99"/>
    <w:pPr>
      <w:tabs>
        <w:tab w:val="center" w:pos="4153"/>
        <w:tab w:val="right" w:pos="8306"/>
      </w:tabs>
      <w:snapToGrid w:val="0"/>
      <w:jc w:val="left"/>
    </w:pPr>
    <w:rPr>
      <w:sz w:val="18"/>
      <w:szCs w:val="18"/>
    </w:rPr>
  </w:style>
  <w:style w:type="paragraph" w:styleId="9">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9"/>
    <w:qFormat/>
    <w:uiPriority w:val="99"/>
    <w:rPr>
      <w:rFonts w:ascii="Calibri" w:hAnsi="Calibri" w:eastAsia="宋体" w:cs="Times New Roman"/>
      <w:sz w:val="18"/>
      <w:szCs w:val="18"/>
    </w:rPr>
  </w:style>
  <w:style w:type="character" w:customStyle="1" w:styleId="20">
    <w:name w:val="页脚 Char"/>
    <w:basedOn w:val="13"/>
    <w:link w:val="8"/>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5"/>
    <w:semiHidden/>
    <w:qFormat/>
    <w:uiPriority w:val="9"/>
    <w:rPr>
      <w:rFonts w:ascii="Calibri" w:hAnsi="Calibri" w:eastAsia="宋体" w:cs="Times New Roman"/>
      <w:b/>
      <w:bCs/>
      <w:sz w:val="28"/>
      <w:szCs w:val="28"/>
    </w:rPr>
  </w:style>
  <w:style w:type="character" w:customStyle="1" w:styleId="27">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3"/>
    <w:semiHidden/>
    <w:qFormat/>
    <w:uiPriority w:val="9"/>
    <w:rPr>
      <w:rFonts w:ascii="Calibri" w:hAnsi="Calibri" w:eastAsia="宋体" w:cs="Times New Roman"/>
      <w:b/>
      <w:bCs/>
      <w:sz w:val="32"/>
      <w:szCs w:val="32"/>
    </w:rPr>
  </w:style>
  <w:style w:type="paragraph" w:customStyle="1" w:styleId="32">
    <w:name w:val="reader-word-layer"/>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33">
    <w:name w:val="样式"/>
    <w:qFormat/>
    <w:uiPriority w:val="99"/>
    <w:pPr>
      <w:widowControl w:val="0"/>
      <w:autoSpaceDE w:val="0"/>
      <w:autoSpaceDN w:val="0"/>
      <w:adjustRightInd w:val="0"/>
    </w:pPr>
    <w:rPr>
      <w:rFonts w:ascii="Times New Roman" w:hAnsi="Times New Roman" w:eastAsia="宋体" w:cs="Times New Roman"/>
      <w:sz w:val="24"/>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8062</Words>
  <Characters>8491</Characters>
  <Lines>1</Lines>
  <Paragraphs>1</Paragraphs>
  <TotalTime>2</TotalTime>
  <ScaleCrop>false</ScaleCrop>
  <LinksUpToDate>false</LinksUpToDate>
  <CharactersWithSpaces>8635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2025-09-01T07:04:15Z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30E5848F283C4E1BA255659BC42DD711_13</vt:lpwstr>
  </property>
  <property fmtid="{D5CDD505-2E9C-101B-9397-08002B2CF9AE}" pid="4" name="KSOTemplateDocerSaveRecord">
    <vt:lpwstr>eyJoZGlkIjoiNTRhMzg2OWJjMjI3MTg1NjMwMzY2YzM2YjFhZmRkZDkiLCJ1c2VySWQiOiI2NzMyNTM1ODMifQ==</vt:lpwstr>
  </property>
</Properties>
</file>